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B56D" w14:textId="77777777" w:rsidR="00B57755" w:rsidRPr="00240E3B" w:rsidRDefault="00B57755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19D0117" w14:textId="77777777" w:rsidR="004206CA" w:rsidRDefault="004206CA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2E9FEF3" w14:textId="77777777" w:rsidR="0095236E" w:rsidRDefault="0095236E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836739C" w14:textId="77777777" w:rsidR="0095236E" w:rsidRDefault="0095236E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3ECDC90" w14:textId="77777777" w:rsidR="0095236E" w:rsidRPr="00240E3B" w:rsidRDefault="0095236E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293969D" w14:textId="3CC33A55" w:rsidR="00BC1981" w:rsidRPr="00240E3B" w:rsidRDefault="00BC1981" w:rsidP="00240E3B">
      <w:pPr>
        <w:spacing w:line="240" w:lineRule="auto"/>
        <w:jc w:val="center"/>
        <w:rPr>
          <w:rFonts w:ascii="Calibri" w:hAnsi="Calibri" w:cs="Calibri"/>
          <w:b/>
          <w:bCs/>
          <w:color w:val="BF4E14" w:themeColor="accent2" w:themeShade="BF"/>
          <w:sz w:val="28"/>
          <w:szCs w:val="28"/>
          <w:u w:val="single"/>
        </w:rPr>
      </w:pPr>
      <w:r w:rsidRPr="00240E3B">
        <w:rPr>
          <w:rFonts w:ascii="Calibri" w:hAnsi="Calibri" w:cs="Calibri"/>
          <w:b/>
          <w:bCs/>
          <w:color w:val="BF4E14" w:themeColor="accent2" w:themeShade="BF"/>
          <w:sz w:val="28"/>
          <w:szCs w:val="28"/>
          <w:u w:val="single"/>
        </w:rPr>
        <w:t xml:space="preserve">References </w:t>
      </w:r>
    </w:p>
    <w:p w14:paraId="66C6B13D" w14:textId="6CAA36E2" w:rsidR="00312B6F" w:rsidRPr="00240E3B" w:rsidRDefault="00D81C55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[1]</w:t>
      </w:r>
      <w:r w:rsidR="008A2B59" w:rsidRPr="00240E3B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="008A2B59" w:rsidRPr="00240E3B">
        <w:rPr>
          <w:rFonts w:ascii="Calibri" w:hAnsi="Calibri" w:cs="Calibri"/>
          <w:sz w:val="22"/>
          <w:szCs w:val="22"/>
        </w:rPr>
        <w:t>aint</w:t>
      </w:r>
      <w:proofErr w:type="spellEnd"/>
      <w:r w:rsidR="008A2B59" w:rsidRPr="00240E3B">
        <w:rPr>
          <w:rFonts w:ascii="Calibri" w:hAnsi="Calibri" w:cs="Calibri"/>
          <w:sz w:val="22"/>
          <w:szCs w:val="22"/>
        </w:rPr>
        <w:t xml:space="preserve"> spoofing measure for fingerprint scanners. </w:t>
      </w:r>
    </w:p>
    <w:p w14:paraId="7BDB4B63" w14:textId="40D6683D" w:rsidR="00D81C55" w:rsidRPr="00240E3B" w:rsidRDefault="00D81C55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K. K. </w:t>
      </w:r>
      <w:proofErr w:type="spellStart"/>
      <w:r w:rsidRPr="00240E3B">
        <w:rPr>
          <w:rFonts w:ascii="Calibri" w:hAnsi="Calibri" w:cs="Calibri"/>
          <w:sz w:val="22"/>
          <w:szCs w:val="22"/>
        </w:rPr>
        <w:t>Sadasivuni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M. T. </w:t>
      </w:r>
      <w:proofErr w:type="spellStart"/>
      <w:r w:rsidRPr="00240E3B">
        <w:rPr>
          <w:rFonts w:ascii="Calibri" w:hAnsi="Calibri" w:cs="Calibri"/>
          <w:sz w:val="22"/>
          <w:szCs w:val="22"/>
        </w:rPr>
        <w:t>Houkan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M. S. Taha, and J.-J. </w:t>
      </w:r>
      <w:proofErr w:type="spellStart"/>
      <w:r w:rsidRPr="00240E3B">
        <w:rPr>
          <w:rFonts w:ascii="Calibri" w:hAnsi="Calibri" w:cs="Calibri"/>
          <w:sz w:val="22"/>
          <w:szCs w:val="22"/>
        </w:rPr>
        <w:t>Cabibihan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“Anti-spoofing device for biometric fingerprint scanners,” </w:t>
      </w:r>
      <w:r w:rsidRPr="00240E3B">
        <w:rPr>
          <w:rFonts w:ascii="Calibri" w:hAnsi="Calibri" w:cs="Calibri"/>
          <w:i/>
          <w:iCs/>
          <w:sz w:val="22"/>
          <w:szCs w:val="22"/>
        </w:rPr>
        <w:t>IEEE Xplore</w:t>
      </w:r>
      <w:r w:rsidRPr="00240E3B">
        <w:rPr>
          <w:rFonts w:ascii="Calibri" w:hAnsi="Calibri" w:cs="Calibri"/>
          <w:sz w:val="22"/>
          <w:szCs w:val="22"/>
        </w:rPr>
        <w:t>, Aug. 01, 2017. https://ieeexplore.ieee.org/abstract/document/8015898 (accessed Jan. 20, 2026).</w:t>
      </w:r>
    </w:p>
    <w:p w14:paraId="6801C1A9" w14:textId="77777777" w:rsidR="00312B6F" w:rsidRPr="00240E3B" w:rsidRDefault="00312B6F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AA765C6" w14:textId="5FA78E19" w:rsidR="00312B6F" w:rsidRPr="00240E3B" w:rsidRDefault="00312B6F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[2]</w:t>
      </w:r>
      <w:r w:rsidR="008A2B59" w:rsidRPr="00240E3B">
        <w:rPr>
          <w:rFonts w:ascii="Calibri" w:hAnsi="Calibri" w:cs="Calibri"/>
          <w:sz w:val="22"/>
          <w:szCs w:val="22"/>
        </w:rPr>
        <w:t xml:space="preserve">     has all the FAR statistics and explanations regarding the 3 main authentication types.</w:t>
      </w:r>
    </w:p>
    <w:p w14:paraId="2C6B3720" w14:textId="48EAF35E" w:rsidR="00312B6F" w:rsidRPr="00240E3B" w:rsidRDefault="00312B6F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R. </w:t>
      </w:r>
      <w:proofErr w:type="spellStart"/>
      <w:r w:rsidRPr="00240E3B">
        <w:rPr>
          <w:rFonts w:ascii="Calibri" w:hAnsi="Calibri" w:cs="Calibri"/>
          <w:sz w:val="22"/>
          <w:szCs w:val="22"/>
        </w:rPr>
        <w:t>Alrawili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A. A. S. AlQahtani, and M. K. Khan, “Comprehensive survey: Biometric user authentication application, evaluation, and discussion,” </w:t>
      </w:r>
      <w:r w:rsidRPr="00240E3B">
        <w:rPr>
          <w:rFonts w:ascii="Calibri" w:hAnsi="Calibri" w:cs="Calibri"/>
          <w:i/>
          <w:iCs/>
          <w:sz w:val="22"/>
          <w:szCs w:val="22"/>
        </w:rPr>
        <w:t>Computers and Electrical Engineering</w:t>
      </w:r>
      <w:r w:rsidRPr="00240E3B">
        <w:rPr>
          <w:rFonts w:ascii="Calibri" w:hAnsi="Calibri" w:cs="Calibri"/>
          <w:sz w:val="22"/>
          <w:szCs w:val="22"/>
        </w:rPr>
        <w:t xml:space="preserve">, vol. 119, no. A, p. 109485, Oct. 2024,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>: https://doi.org/10.1016/j.compeleceng.2024.109485.</w:t>
      </w:r>
    </w:p>
    <w:p w14:paraId="18CCF6F6" w14:textId="77777777" w:rsidR="00312B6F" w:rsidRPr="00240E3B" w:rsidRDefault="00312B6F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064B90F" w14:textId="681CA0A8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[3]</w:t>
      </w:r>
      <w:r w:rsidR="00A75ADC" w:rsidRPr="00240E3B">
        <w:rPr>
          <w:rFonts w:ascii="Calibri" w:hAnsi="Calibri" w:cs="Calibri"/>
          <w:sz w:val="22"/>
          <w:szCs w:val="22"/>
        </w:rPr>
        <w:t xml:space="preserve">  </w:t>
      </w:r>
      <w:r w:rsidR="008A2B59" w:rsidRPr="00240E3B">
        <w:rPr>
          <w:rFonts w:ascii="Calibri" w:hAnsi="Calibri" w:cs="Calibri"/>
          <w:sz w:val="22"/>
          <w:szCs w:val="22"/>
        </w:rPr>
        <w:t xml:space="preserve"> iris technology, software</w:t>
      </w:r>
    </w:p>
    <w:p w14:paraId="331C2FF2" w14:textId="77777777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K. Nguyen, H. Proença, and F. Alonso-Fernandez, “Deep Learning for Iris Recognition: A Survey,” </w:t>
      </w:r>
      <w:r w:rsidRPr="00240E3B">
        <w:rPr>
          <w:rFonts w:ascii="Calibri" w:hAnsi="Calibri" w:cs="Calibri"/>
          <w:i/>
          <w:iCs/>
          <w:sz w:val="22"/>
          <w:szCs w:val="22"/>
        </w:rPr>
        <w:t>ACM computing surveys</w:t>
      </w:r>
      <w:r w:rsidRPr="00240E3B">
        <w:rPr>
          <w:rFonts w:ascii="Calibri" w:hAnsi="Calibri" w:cs="Calibri"/>
          <w:sz w:val="22"/>
          <w:szCs w:val="22"/>
        </w:rPr>
        <w:t xml:space="preserve">, vol. 56, no. 9, pp. 1–35, Apr. 2024,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>: https://doi.org/10.1145/3651306.</w:t>
      </w:r>
    </w:p>
    <w:p w14:paraId="0903D99A" w14:textId="2592C574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B48DA7B" w14:textId="1A839DC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[4</w:t>
      </w:r>
      <w:proofErr w:type="gramStart"/>
      <w:r w:rsidRPr="00240E3B">
        <w:rPr>
          <w:rFonts w:ascii="Calibri" w:hAnsi="Calibri" w:cs="Calibri"/>
          <w:sz w:val="22"/>
          <w:szCs w:val="22"/>
        </w:rPr>
        <w:t>]  talks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about different lighting and other issues with face </w:t>
      </w:r>
      <w:r w:rsidR="008A2B59" w:rsidRPr="00240E3B">
        <w:rPr>
          <w:rFonts w:ascii="Calibri" w:hAnsi="Calibri" w:cs="Calibri"/>
          <w:sz w:val="22"/>
          <w:szCs w:val="22"/>
        </w:rPr>
        <w:t>scanning.</w:t>
      </w:r>
    </w:p>
    <w:p w14:paraId="14F28624" w14:textId="27DA51FF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S. Anwarul and S. Dahiya, “A Comprehensive Review on Face Recognition Methods and Factors Affecting Facial Recognition Accuracy,” </w:t>
      </w:r>
      <w:r w:rsidRPr="00240E3B">
        <w:rPr>
          <w:rFonts w:ascii="Calibri" w:hAnsi="Calibri" w:cs="Calibri"/>
          <w:i/>
          <w:iCs/>
          <w:sz w:val="22"/>
          <w:szCs w:val="22"/>
        </w:rPr>
        <w:t>Lecture Notes in Electrical Engineering</w:t>
      </w:r>
      <w:r w:rsidRPr="00240E3B">
        <w:rPr>
          <w:rFonts w:ascii="Calibri" w:hAnsi="Calibri" w:cs="Calibri"/>
          <w:sz w:val="22"/>
          <w:szCs w:val="22"/>
        </w:rPr>
        <w:t xml:space="preserve">, vol. 597, pp. 495–514, Nov. 2019,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6" w:history="1">
        <w:r w:rsidRPr="00240E3B">
          <w:rPr>
            <w:rStyle w:val="Hyperlink"/>
            <w:rFonts w:ascii="Calibri" w:hAnsi="Calibri" w:cs="Calibri"/>
            <w:sz w:val="22"/>
            <w:szCs w:val="22"/>
          </w:rPr>
          <w:t>https://doi.org/10.1007/978-3-030-29407-6_36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5CB3A363" w14:textId="77777777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8AEFD3A" w14:textId="271F5CF1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[5]     </w:t>
      </w:r>
      <w:proofErr w:type="spellStart"/>
      <w:r w:rsidRPr="00240E3B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irus</w:t>
      </w:r>
      <w:proofErr w:type="spellEnd"/>
      <w:r w:rsidRPr="00240E3B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 xml:space="preserve"> scanning to be found at most accurate to be 99.50% depending on </w:t>
      </w:r>
      <w:proofErr w:type="spellStart"/>
      <w:r w:rsidRPr="00240E3B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algorithum</w:t>
      </w:r>
      <w:proofErr w:type="spellEnd"/>
    </w:p>
    <w:p w14:paraId="5C355FA4" w14:textId="310B4253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Hosam El-</w:t>
      </w:r>
      <w:proofErr w:type="spellStart"/>
      <w:r w:rsidRPr="00240E3B">
        <w:rPr>
          <w:rFonts w:ascii="Calibri" w:hAnsi="Calibri" w:cs="Calibri"/>
          <w:sz w:val="22"/>
          <w:szCs w:val="22"/>
        </w:rPr>
        <w:t>Sofany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Belgacem </w:t>
      </w:r>
      <w:proofErr w:type="spellStart"/>
      <w:r w:rsidRPr="00240E3B">
        <w:rPr>
          <w:rFonts w:ascii="Calibri" w:hAnsi="Calibri" w:cs="Calibri"/>
          <w:sz w:val="22"/>
          <w:szCs w:val="22"/>
        </w:rPr>
        <w:t>Bouallegue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and Yasser M Abd El-Latif, “A Proposed Biometric Authentication Hybrid Approach Using Iris Recognition for Improving Cloud Security,” </w:t>
      </w:r>
      <w:proofErr w:type="spellStart"/>
      <w:r w:rsidRPr="00240E3B">
        <w:rPr>
          <w:rFonts w:ascii="Calibri" w:hAnsi="Calibri" w:cs="Calibri"/>
          <w:i/>
          <w:iCs/>
          <w:sz w:val="22"/>
          <w:szCs w:val="22"/>
        </w:rPr>
        <w:t>Heliyon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vol. 10, no. 16, pp. e36390–e36390, Aug. 2024,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7" w:history="1">
        <w:r w:rsidRPr="00240E3B">
          <w:rPr>
            <w:rStyle w:val="Hyperlink"/>
            <w:rFonts w:ascii="Calibri" w:hAnsi="Calibri" w:cs="Calibri"/>
            <w:sz w:val="22"/>
            <w:szCs w:val="22"/>
          </w:rPr>
          <w:t>https://doi.org/10.1016/j.heliyon.2024.e36390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6AA12C4F" w14:textId="77777777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FA46622" w14:textId="50A7A8B4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[6</w:t>
      </w:r>
      <w:proofErr w:type="gramStart"/>
      <w:r w:rsidRPr="00240E3B">
        <w:rPr>
          <w:rFonts w:ascii="Calibri" w:hAnsi="Calibri" w:cs="Calibri"/>
          <w:sz w:val="22"/>
          <w:szCs w:val="22"/>
        </w:rPr>
        <w:t>]  how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accuracy can be </w:t>
      </w:r>
      <w:proofErr w:type="gramStart"/>
      <w:r w:rsidRPr="00240E3B">
        <w:rPr>
          <w:rFonts w:ascii="Calibri" w:hAnsi="Calibri" w:cs="Calibri"/>
          <w:sz w:val="22"/>
          <w:szCs w:val="22"/>
        </w:rPr>
        <w:t>effected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in </w:t>
      </w:r>
      <w:proofErr w:type="gramStart"/>
      <w:r w:rsidRPr="00240E3B">
        <w:rPr>
          <w:rFonts w:ascii="Calibri" w:hAnsi="Calibri" w:cs="Calibri"/>
          <w:sz w:val="22"/>
          <w:szCs w:val="22"/>
        </w:rPr>
        <w:t>finger print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scanners </w:t>
      </w:r>
    </w:p>
    <w:p w14:paraId="60EF328A" w14:textId="72A23A08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W. Yang, S. Wang, J. Hu, G. Zheng, and C. Valli, “Security and Accuracy of Fingerprint-Based Biometrics: A Review,” </w:t>
      </w:r>
      <w:r w:rsidRPr="00240E3B">
        <w:rPr>
          <w:rFonts w:ascii="Calibri" w:hAnsi="Calibri" w:cs="Calibri"/>
          <w:i/>
          <w:iCs/>
          <w:sz w:val="22"/>
          <w:szCs w:val="22"/>
        </w:rPr>
        <w:t>Symmetry</w:t>
      </w:r>
      <w:r w:rsidRPr="00240E3B">
        <w:rPr>
          <w:rFonts w:ascii="Calibri" w:hAnsi="Calibri" w:cs="Calibri"/>
          <w:sz w:val="22"/>
          <w:szCs w:val="22"/>
        </w:rPr>
        <w:t xml:space="preserve">, vol. 11, no. 2, p. 141, Jan. 2019,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 w:rsidR="00816229" w:rsidRPr="00240E3B">
          <w:rPr>
            <w:rStyle w:val="Hyperlink"/>
            <w:rFonts w:ascii="Calibri" w:hAnsi="Calibri" w:cs="Calibri"/>
            <w:sz w:val="22"/>
            <w:szCs w:val="22"/>
          </w:rPr>
          <w:t>https://doi.org/10.3390/sym11020141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07BD1EEC" w14:textId="77777777" w:rsidR="00816229" w:rsidRPr="00240E3B" w:rsidRDefault="0081622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53FF52E" w14:textId="70006121" w:rsidR="00816229" w:rsidRPr="00240E3B" w:rsidRDefault="0081622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[7</w:t>
      </w:r>
      <w:proofErr w:type="gramStart"/>
      <w:r w:rsidRPr="00240E3B">
        <w:rPr>
          <w:rFonts w:ascii="Calibri" w:hAnsi="Calibri" w:cs="Calibri"/>
          <w:sz w:val="22"/>
          <w:szCs w:val="22"/>
        </w:rPr>
        <w:t>]  information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on different </w:t>
      </w:r>
      <w:proofErr w:type="gramStart"/>
      <w:r w:rsidRPr="00240E3B">
        <w:rPr>
          <w:rFonts w:ascii="Calibri" w:hAnsi="Calibri" w:cs="Calibri"/>
          <w:sz w:val="22"/>
          <w:szCs w:val="22"/>
        </w:rPr>
        <w:t>finger print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scanners </w:t>
      </w:r>
    </w:p>
    <w:p w14:paraId="0869B239" w14:textId="3CB2B89C" w:rsidR="00EF02F3" w:rsidRPr="00240E3B" w:rsidRDefault="00816229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lastRenderedPageBreak/>
        <w:t xml:space="preserve">Y. Yu, Q. Niu, L. </w:t>
      </w:r>
      <w:proofErr w:type="spellStart"/>
      <w:r w:rsidRPr="00240E3B">
        <w:rPr>
          <w:rFonts w:ascii="Calibri" w:hAnsi="Calibri" w:cs="Calibri"/>
          <w:sz w:val="22"/>
          <w:szCs w:val="22"/>
        </w:rPr>
        <w:t>Xiaoshi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J. Xue, W. Liu, and D. Lin, “A Review of Fingerprint Sensors: Mechanism, Characteristics, and Applications,” </w:t>
      </w:r>
      <w:r w:rsidRPr="00240E3B">
        <w:rPr>
          <w:rFonts w:ascii="Calibri" w:hAnsi="Calibri" w:cs="Calibri"/>
          <w:i/>
          <w:iCs/>
          <w:sz w:val="22"/>
          <w:szCs w:val="22"/>
        </w:rPr>
        <w:t>Micromachines (Basel)</w:t>
      </w:r>
      <w:r w:rsidRPr="00240E3B">
        <w:rPr>
          <w:rFonts w:ascii="Calibri" w:hAnsi="Calibri" w:cs="Calibri"/>
          <w:sz w:val="22"/>
          <w:szCs w:val="22"/>
        </w:rPr>
        <w:t xml:space="preserve">, vol. 14, no. 6, pp. 1253–1253, Jun. 2023,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9" w:history="1">
        <w:r w:rsidR="00EF02F3" w:rsidRPr="00240E3B">
          <w:rPr>
            <w:rStyle w:val="Hyperlink"/>
            <w:rFonts w:ascii="Calibri" w:hAnsi="Calibri" w:cs="Calibri"/>
            <w:sz w:val="22"/>
            <w:szCs w:val="22"/>
          </w:rPr>
          <w:t>https://doi.org/10.3390/mi14061253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194A68F4" w14:textId="26FD10CF" w:rsidR="00EF02F3" w:rsidRPr="00240E3B" w:rsidRDefault="00EF02F3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[8]     spoofing attacks on face id     70%</w:t>
      </w:r>
    </w:p>
    <w:p w14:paraId="56A912C9" w14:textId="0985C6EF" w:rsidR="00EF02F3" w:rsidRPr="00240E3B" w:rsidRDefault="00EF02F3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L. Li, P. L. Correia, and A. Hadid, “Face recognition under spoofing attacks: countermeasures and research directions,” </w:t>
      </w:r>
      <w:r w:rsidRPr="00240E3B">
        <w:rPr>
          <w:rFonts w:ascii="Calibri" w:hAnsi="Calibri" w:cs="Calibri"/>
          <w:i/>
          <w:iCs/>
          <w:sz w:val="22"/>
          <w:szCs w:val="22"/>
        </w:rPr>
        <w:t>IET Biometrics</w:t>
      </w:r>
      <w:r w:rsidRPr="00240E3B">
        <w:rPr>
          <w:rFonts w:ascii="Calibri" w:hAnsi="Calibri" w:cs="Calibri"/>
          <w:sz w:val="22"/>
          <w:szCs w:val="22"/>
        </w:rPr>
        <w:t xml:space="preserve">, vol. 7, no. 1, pp. 3–14, Jan. 2018,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0" w:history="1">
        <w:r w:rsidR="00995690" w:rsidRPr="00240E3B">
          <w:rPr>
            <w:rStyle w:val="Hyperlink"/>
            <w:rFonts w:ascii="Calibri" w:hAnsi="Calibri" w:cs="Calibri"/>
            <w:sz w:val="22"/>
            <w:szCs w:val="22"/>
          </w:rPr>
          <w:t>https://doi.org/10.1049/iet-bmt.2017.0089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2163FE08" w14:textId="77777777" w:rsidR="00995690" w:rsidRPr="00240E3B" w:rsidRDefault="00995690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1D4A84F" w14:textId="32229491" w:rsidR="00995690" w:rsidRPr="00240E3B" w:rsidRDefault="00995690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[9]     talks about deterministic searchable indexing (which </w:t>
      </w:r>
      <w:proofErr w:type="spellStart"/>
      <w:r w:rsidRPr="00240E3B">
        <w:rPr>
          <w:rFonts w:ascii="Calibri" w:hAnsi="Calibri" w:cs="Calibri"/>
          <w:sz w:val="22"/>
          <w:szCs w:val="22"/>
        </w:rPr>
        <w:t>ur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 using)</w:t>
      </w:r>
    </w:p>
    <w:p w14:paraId="7649A534" w14:textId="2D24EE7B" w:rsidR="00995690" w:rsidRPr="00240E3B" w:rsidRDefault="00995690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P. G. M. R. Alves and D. F. Aranha, “A framework for searching encrypted databases,” </w:t>
      </w:r>
      <w:r w:rsidRPr="00240E3B">
        <w:rPr>
          <w:rFonts w:ascii="Calibri" w:hAnsi="Calibri" w:cs="Calibri"/>
          <w:i/>
          <w:iCs/>
          <w:sz w:val="22"/>
          <w:szCs w:val="22"/>
        </w:rPr>
        <w:t>Journal of Internet Services and Applications</w:t>
      </w:r>
      <w:r w:rsidRPr="00240E3B">
        <w:rPr>
          <w:rFonts w:ascii="Calibri" w:hAnsi="Calibri" w:cs="Calibri"/>
          <w:sz w:val="22"/>
          <w:szCs w:val="22"/>
        </w:rPr>
        <w:t xml:space="preserve">, vol. 9, no. 1, Jan. 2018,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1" w:history="1">
        <w:r w:rsidR="00B904A7" w:rsidRPr="00240E3B">
          <w:rPr>
            <w:rStyle w:val="Hyperlink"/>
            <w:rFonts w:ascii="Calibri" w:hAnsi="Calibri" w:cs="Calibri"/>
            <w:sz w:val="22"/>
            <w:szCs w:val="22"/>
          </w:rPr>
          <w:t>https://doi.org/10.1186/s13174-017-0073-0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21632EA4" w14:textId="77777777" w:rsidR="00B904A7" w:rsidRPr="00240E3B" w:rsidRDefault="00B904A7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7C570F1" w14:textId="50859698" w:rsidR="00B904A7" w:rsidRPr="00240E3B" w:rsidRDefault="00B904A7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[10]     talks about pinning and how </w:t>
      </w:r>
      <w:proofErr w:type="spellStart"/>
      <w:r w:rsidRPr="00240E3B">
        <w:rPr>
          <w:rFonts w:ascii="Calibri" w:hAnsi="Calibri" w:cs="Calibri"/>
          <w:sz w:val="22"/>
          <w:szCs w:val="22"/>
        </w:rPr>
        <w:t>its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 used and improves connection </w:t>
      </w:r>
    </w:p>
    <w:p w14:paraId="2C8AA37F" w14:textId="61627D6D" w:rsidR="00B904A7" w:rsidRPr="00240E3B" w:rsidRDefault="00B904A7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D. Diaz-Sanchez, A. Marin-Lopez, F. A. Mendoza, P. A. </w:t>
      </w:r>
      <w:proofErr w:type="spellStart"/>
      <w:r w:rsidRPr="00240E3B">
        <w:rPr>
          <w:rFonts w:ascii="Calibri" w:hAnsi="Calibri" w:cs="Calibri"/>
          <w:sz w:val="22"/>
          <w:szCs w:val="22"/>
        </w:rPr>
        <w:t>Cabarcos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and R. S. Sherratt, “TLS/PKI Challenges and Certificate Pinning Techniques for IoT and M2M Secure Communications,” </w:t>
      </w:r>
      <w:r w:rsidRPr="00240E3B">
        <w:rPr>
          <w:rFonts w:ascii="Calibri" w:hAnsi="Calibri" w:cs="Calibri"/>
          <w:i/>
          <w:iCs/>
          <w:sz w:val="22"/>
          <w:szCs w:val="22"/>
        </w:rPr>
        <w:t>IEEE Communications Surveys &amp; Tutorials</w:t>
      </w:r>
      <w:r w:rsidRPr="00240E3B">
        <w:rPr>
          <w:rFonts w:ascii="Calibri" w:hAnsi="Calibri" w:cs="Calibri"/>
          <w:sz w:val="22"/>
          <w:szCs w:val="22"/>
        </w:rPr>
        <w:t xml:space="preserve">, vol. 21, no. 4, pp. 3502–3531, 2019,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2" w:history="1">
        <w:r w:rsidR="00085F07" w:rsidRPr="00240E3B">
          <w:rPr>
            <w:rStyle w:val="Hyperlink"/>
            <w:rFonts w:ascii="Calibri" w:hAnsi="Calibri" w:cs="Calibri"/>
            <w:sz w:val="22"/>
            <w:szCs w:val="22"/>
          </w:rPr>
          <w:t>https://doi.org/10.1109/comst.2019.2914453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7B48DB80" w14:textId="77777777" w:rsidR="00085F07" w:rsidRPr="00240E3B" w:rsidRDefault="00085F07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6F37E1A" w14:textId="67D49523" w:rsidR="00085F07" w:rsidRPr="00240E3B" w:rsidRDefault="00085F07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[11]   talks about </w:t>
      </w:r>
      <w:r w:rsidR="008F686B" w:rsidRPr="00240E3B">
        <w:rPr>
          <w:rFonts w:ascii="Calibri" w:hAnsi="Calibri" w:cs="Calibri"/>
          <w:sz w:val="22"/>
          <w:szCs w:val="22"/>
        </w:rPr>
        <w:t>caveats</w:t>
      </w:r>
      <w:r w:rsidRPr="00240E3B">
        <w:rPr>
          <w:rFonts w:ascii="Calibri" w:hAnsi="Calibri" w:cs="Calibri"/>
          <w:sz w:val="22"/>
          <w:szCs w:val="22"/>
        </w:rPr>
        <w:t xml:space="preserve"> with encrypting a large data base and issues with queries as data is obscured, also covers KMS and deterministic and symmetric encryption. </w:t>
      </w:r>
    </w:p>
    <w:p w14:paraId="76399E15" w14:textId="578ACFCD" w:rsidR="00085F07" w:rsidRPr="00240E3B" w:rsidRDefault="00085F07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E. Mohamed, “Future Trends and Real-World Applications in Database Encryption,” </w:t>
      </w:r>
      <w:r w:rsidRPr="00240E3B">
        <w:rPr>
          <w:rFonts w:ascii="Calibri" w:hAnsi="Calibri" w:cs="Calibri"/>
          <w:i/>
          <w:iCs/>
          <w:sz w:val="22"/>
          <w:szCs w:val="22"/>
        </w:rPr>
        <w:t xml:space="preserve">Int. J. </w:t>
      </w:r>
      <w:proofErr w:type="spellStart"/>
      <w:r w:rsidRPr="00240E3B">
        <w:rPr>
          <w:rFonts w:ascii="Calibri" w:hAnsi="Calibri" w:cs="Calibri"/>
          <w:i/>
          <w:iCs/>
          <w:sz w:val="22"/>
          <w:szCs w:val="22"/>
        </w:rPr>
        <w:t>Electr</w:t>
      </w:r>
      <w:proofErr w:type="spellEnd"/>
      <w:r w:rsidRPr="00240E3B">
        <w:rPr>
          <w:rFonts w:ascii="Calibri" w:hAnsi="Calibri" w:cs="Calibri"/>
          <w:i/>
          <w:iCs/>
          <w:sz w:val="22"/>
          <w:szCs w:val="22"/>
        </w:rPr>
        <w:t>. Eng. and Sustain.</w:t>
      </w:r>
      <w:r w:rsidRPr="00240E3B">
        <w:rPr>
          <w:rFonts w:ascii="Calibri" w:hAnsi="Calibri" w:cs="Calibri"/>
          <w:sz w:val="22"/>
          <w:szCs w:val="22"/>
        </w:rPr>
        <w:t xml:space="preserve">, vol. 3, no. 1, pp. 28–39, Nov. 2023, Available: </w:t>
      </w:r>
      <w:hyperlink r:id="rId13" w:history="1">
        <w:r w:rsidR="00D0479E" w:rsidRPr="00240E3B">
          <w:rPr>
            <w:rStyle w:val="Hyperlink"/>
            <w:rFonts w:ascii="Calibri" w:hAnsi="Calibri" w:cs="Calibri"/>
            <w:sz w:val="22"/>
            <w:szCs w:val="22"/>
          </w:rPr>
          <w:t>https://ijees.org/index.php/ijees/article/view/106</w:t>
        </w:r>
      </w:hyperlink>
    </w:p>
    <w:p w14:paraId="56EC361D" w14:textId="77777777" w:rsidR="00D0479E" w:rsidRPr="00240E3B" w:rsidRDefault="00D0479E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DC29B1C" w14:textId="4B7C4C23" w:rsidR="00D0479E" w:rsidRPr="00240E3B" w:rsidRDefault="00D0479E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[12</w:t>
      </w:r>
      <w:proofErr w:type="gramStart"/>
      <w:r w:rsidRPr="00240E3B">
        <w:rPr>
          <w:rFonts w:ascii="Calibri" w:hAnsi="Calibri" w:cs="Calibri"/>
          <w:sz w:val="22"/>
          <w:szCs w:val="22"/>
        </w:rPr>
        <w:t>]  talks</w:t>
      </w:r>
      <w:proofErr w:type="gramEnd"/>
      <w:r w:rsidRPr="00240E3B">
        <w:rPr>
          <w:rFonts w:ascii="Calibri" w:hAnsi="Calibri" w:cs="Calibri"/>
          <w:sz w:val="22"/>
          <w:szCs w:val="22"/>
        </w:rPr>
        <w:t xml:space="preserve"> about symmetric indexing, talks about it being imperfect and containing leakage. </w:t>
      </w:r>
    </w:p>
    <w:p w14:paraId="2DC5795C" w14:textId="77777777" w:rsidR="00D0479E" w:rsidRPr="00240E3B" w:rsidRDefault="00D0479E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A. A. Alyousif, A. A. Yassin, and H. M. Mohammed, “Enhancing Searchable Symmetric Encryption Performance through Optimal Locality,” </w:t>
      </w:r>
      <w:r w:rsidRPr="00240E3B">
        <w:rPr>
          <w:rFonts w:ascii="Calibri" w:hAnsi="Calibri" w:cs="Calibri"/>
          <w:i/>
          <w:iCs/>
          <w:sz w:val="22"/>
          <w:szCs w:val="22"/>
        </w:rPr>
        <w:t>Informatica</w:t>
      </w:r>
      <w:r w:rsidRPr="00240E3B">
        <w:rPr>
          <w:rFonts w:ascii="Calibri" w:hAnsi="Calibri" w:cs="Calibri"/>
          <w:sz w:val="22"/>
          <w:szCs w:val="22"/>
        </w:rPr>
        <w:t xml:space="preserve">, vol. 49, no. 7, Feb. 2025,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>: https://doi.org/10.31449/inf.v49i7.5925.</w:t>
      </w:r>
    </w:p>
    <w:p w14:paraId="1C53A2F8" w14:textId="77777777" w:rsidR="00D0479E" w:rsidRPr="00240E3B" w:rsidRDefault="00D0479E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4230CD4" w14:textId="703A741B" w:rsidR="008F686B" w:rsidRPr="00240E3B" w:rsidRDefault="008F686B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[13]       talks about deterministic encryption and leakage in a database </w:t>
      </w:r>
    </w:p>
    <w:p w14:paraId="6FAFED71" w14:textId="1C5F64C8" w:rsidR="008F686B" w:rsidRPr="00240E3B" w:rsidRDefault="008F686B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H. Chen, Y. Yang, and S. </w:t>
      </w:r>
      <w:proofErr w:type="spellStart"/>
      <w:r w:rsidRPr="00240E3B">
        <w:rPr>
          <w:rFonts w:ascii="Calibri" w:hAnsi="Calibri" w:cs="Calibri"/>
          <w:sz w:val="22"/>
          <w:szCs w:val="22"/>
        </w:rPr>
        <w:t>Lv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“Revisiting frequency-smoothing encryption: new security definitions and efficient construction,” </w:t>
      </w:r>
      <w:r w:rsidRPr="00240E3B">
        <w:rPr>
          <w:rFonts w:ascii="Calibri" w:hAnsi="Calibri" w:cs="Calibri"/>
          <w:i/>
          <w:iCs/>
          <w:sz w:val="22"/>
          <w:szCs w:val="22"/>
        </w:rPr>
        <w:t>Cybersecurity</w:t>
      </w:r>
      <w:r w:rsidRPr="00240E3B">
        <w:rPr>
          <w:rFonts w:ascii="Calibri" w:hAnsi="Calibri" w:cs="Calibri"/>
          <w:sz w:val="22"/>
          <w:szCs w:val="22"/>
        </w:rPr>
        <w:t xml:space="preserve">, vol. 7, no. 1, Aug. 2024,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4" w:history="1">
        <w:r w:rsidR="00DA150F" w:rsidRPr="00240E3B">
          <w:rPr>
            <w:rStyle w:val="Hyperlink"/>
            <w:rFonts w:ascii="Calibri" w:hAnsi="Calibri" w:cs="Calibri"/>
            <w:sz w:val="22"/>
            <w:szCs w:val="22"/>
          </w:rPr>
          <w:t>https://doi.org/10.1186/s42400-024-00208-w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77144EE2" w14:textId="77777777" w:rsidR="00DA150F" w:rsidRPr="00240E3B" w:rsidRDefault="00DA150F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AB0C87A" w14:textId="5DC3CDC7" w:rsidR="00DA150F" w:rsidRPr="00240E3B" w:rsidRDefault="00DA150F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[14]    Postal Vote tampering </w:t>
      </w:r>
    </w:p>
    <w:p w14:paraId="5B07AAD7" w14:textId="1794DC88" w:rsidR="00DA150F" w:rsidRPr="00240E3B" w:rsidRDefault="00DA150F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E. Hill, M. Sobolewska, S. Wilks-Heeg, and M. Borkowska, “Explaining electoral fraud in an advanced democracy: Fraud vulnerabilities, opportunities and facilitating mechanisms in British elections,” </w:t>
      </w:r>
      <w:r w:rsidRPr="00240E3B">
        <w:rPr>
          <w:rFonts w:ascii="Calibri" w:hAnsi="Calibri" w:cs="Calibri"/>
          <w:i/>
          <w:iCs/>
          <w:sz w:val="22"/>
          <w:szCs w:val="22"/>
        </w:rPr>
        <w:t>The British Journal of Politics and International Relations</w:t>
      </w:r>
      <w:r w:rsidRPr="00240E3B">
        <w:rPr>
          <w:rFonts w:ascii="Calibri" w:hAnsi="Calibri" w:cs="Calibri"/>
          <w:sz w:val="22"/>
          <w:szCs w:val="22"/>
        </w:rPr>
        <w:t xml:space="preserve">, vol. 19, no. 4, pp. 772–789, Jun. 2017,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5" w:history="1">
        <w:r w:rsidR="000263D3" w:rsidRPr="00240E3B">
          <w:rPr>
            <w:rStyle w:val="Hyperlink"/>
            <w:rFonts w:ascii="Calibri" w:hAnsi="Calibri" w:cs="Calibri"/>
            <w:sz w:val="22"/>
            <w:szCs w:val="22"/>
          </w:rPr>
          <w:t>https://doi.org/10.1177/1369148117715222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26E15180" w14:textId="77777777" w:rsidR="000263D3" w:rsidRPr="00240E3B" w:rsidRDefault="000263D3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DD71EB7" w14:textId="0E54BCD8" w:rsidR="000263D3" w:rsidRPr="00240E3B" w:rsidRDefault="000263D3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[15]       talks about the counting system and that delays can occur of 10+ hours</w:t>
      </w:r>
    </w:p>
    <w:p w14:paraId="21894C7D" w14:textId="0C1FDFBD" w:rsidR="000263D3" w:rsidRPr="00240E3B" w:rsidRDefault="000263D3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 N. Johnston, </w:t>
      </w:r>
      <w:r w:rsidRPr="00240E3B">
        <w:rPr>
          <w:rFonts w:ascii="Calibri" w:hAnsi="Calibri" w:cs="Calibri"/>
          <w:i/>
          <w:iCs/>
          <w:sz w:val="22"/>
          <w:szCs w:val="22"/>
        </w:rPr>
        <w:t>EU referendum – the count</w:t>
      </w:r>
      <w:r w:rsidRPr="00240E3B">
        <w:rPr>
          <w:rFonts w:ascii="Calibri" w:hAnsi="Calibri" w:cs="Calibri"/>
          <w:sz w:val="22"/>
          <w:szCs w:val="22"/>
        </w:rPr>
        <w:t>, Briefing Paper no. 7588, House of Commons Library, London, UK, May 12, 2016.</w:t>
      </w:r>
    </w:p>
    <w:p w14:paraId="16C22EC4" w14:textId="77777777" w:rsidR="00EA5938" w:rsidRPr="00240E3B" w:rsidRDefault="00EA5938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34D5073" w14:textId="7EFB0350" w:rsidR="00EA5938" w:rsidRPr="00240E3B" w:rsidRDefault="00EA5938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[16]     in </w:t>
      </w:r>
      <w:proofErr w:type="spellStart"/>
      <w:r w:rsidRPr="00240E3B">
        <w:rPr>
          <w:rFonts w:ascii="Calibri" w:hAnsi="Calibri" w:cs="Calibri"/>
          <w:sz w:val="22"/>
          <w:szCs w:val="22"/>
        </w:rPr>
        <w:t>malasia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 there is a smart card with </w:t>
      </w:r>
      <w:proofErr w:type="spellStart"/>
      <w:r w:rsidRPr="00240E3B">
        <w:rPr>
          <w:rFonts w:ascii="Calibri" w:hAnsi="Calibri" w:cs="Calibri"/>
          <w:sz w:val="22"/>
          <w:szCs w:val="22"/>
        </w:rPr>
        <w:t>ur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 fingerprint on it. </w:t>
      </w:r>
    </w:p>
    <w:p w14:paraId="58143859" w14:textId="6198259F" w:rsidR="00EA5938" w:rsidRPr="00240E3B" w:rsidRDefault="00EA5938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R. Ismail, N. N. Zulkifli, M. M. </w:t>
      </w:r>
      <w:proofErr w:type="spellStart"/>
      <w:r w:rsidRPr="00240E3B">
        <w:rPr>
          <w:rFonts w:ascii="Calibri" w:hAnsi="Calibri" w:cs="Calibri"/>
          <w:sz w:val="22"/>
          <w:szCs w:val="22"/>
        </w:rPr>
        <w:t>Magiman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and Mohd, “A Smart Card (MyKad) and Fingerprint Authentication for E-Voting System,” </w:t>
      </w:r>
      <w:r w:rsidRPr="00240E3B">
        <w:rPr>
          <w:rFonts w:ascii="Calibri" w:hAnsi="Calibri" w:cs="Calibri"/>
          <w:i/>
          <w:iCs/>
          <w:sz w:val="22"/>
          <w:szCs w:val="22"/>
        </w:rPr>
        <w:t>International Journal of Engineering Research &amp; Technology</w:t>
      </w:r>
      <w:r w:rsidRPr="00240E3B">
        <w:rPr>
          <w:rFonts w:ascii="Calibri" w:hAnsi="Calibri" w:cs="Calibri"/>
          <w:sz w:val="22"/>
          <w:szCs w:val="22"/>
        </w:rPr>
        <w:t xml:space="preserve">, vol. 11, no. 11, Nov. 2022,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6" w:history="1">
        <w:r w:rsidR="00E50FE8" w:rsidRPr="00240E3B">
          <w:rPr>
            <w:rStyle w:val="Hyperlink"/>
            <w:rFonts w:ascii="Calibri" w:hAnsi="Calibri" w:cs="Calibri"/>
            <w:sz w:val="22"/>
            <w:szCs w:val="22"/>
          </w:rPr>
          <w:t>https://doi.org/10.5281/zenodo.18398554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070F9A75" w14:textId="77777777" w:rsidR="00E50FE8" w:rsidRPr="00240E3B" w:rsidRDefault="00E50FE8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2A25756" w14:textId="211E1771" w:rsidR="00E50FE8" w:rsidRPr="00240E3B" w:rsidRDefault="00E50FE8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[17]     talks about modern voting systems in countries</w:t>
      </w:r>
    </w:p>
    <w:p w14:paraId="78FD481E" w14:textId="1B6E02F6" w:rsidR="00E50FE8" w:rsidRDefault="00E50FE8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 xml:space="preserve">P. Fantozzi, M. Iecher, L. Laura, M. Naldi, and V. </w:t>
      </w:r>
      <w:proofErr w:type="spellStart"/>
      <w:r w:rsidRPr="00240E3B">
        <w:rPr>
          <w:rFonts w:ascii="Calibri" w:hAnsi="Calibri" w:cs="Calibri"/>
          <w:sz w:val="22"/>
          <w:szCs w:val="22"/>
        </w:rPr>
        <w:t>Rughetti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, “Electronic Voting Worldwide: The State of the Art,” </w:t>
      </w:r>
      <w:r w:rsidRPr="00240E3B">
        <w:rPr>
          <w:rFonts w:ascii="Calibri" w:hAnsi="Calibri" w:cs="Calibri"/>
          <w:i/>
          <w:iCs/>
          <w:sz w:val="22"/>
          <w:szCs w:val="22"/>
        </w:rPr>
        <w:t>Information</w:t>
      </w:r>
      <w:r w:rsidRPr="00240E3B">
        <w:rPr>
          <w:rFonts w:ascii="Calibri" w:hAnsi="Calibri" w:cs="Calibri"/>
          <w:sz w:val="22"/>
          <w:szCs w:val="22"/>
        </w:rPr>
        <w:t xml:space="preserve">, vol. 16, no. 8, p. 650, Jul. 2025, </w:t>
      </w:r>
      <w:proofErr w:type="spellStart"/>
      <w:r w:rsidRPr="00240E3B">
        <w:rPr>
          <w:rFonts w:ascii="Calibri" w:hAnsi="Calibri" w:cs="Calibri"/>
          <w:sz w:val="22"/>
          <w:szCs w:val="22"/>
        </w:rPr>
        <w:t>doi</w:t>
      </w:r>
      <w:proofErr w:type="spellEnd"/>
      <w:r w:rsidRPr="00240E3B">
        <w:rPr>
          <w:rFonts w:ascii="Calibri" w:hAnsi="Calibri" w:cs="Calibri"/>
          <w:sz w:val="22"/>
          <w:szCs w:val="22"/>
        </w:rPr>
        <w:t xml:space="preserve">: </w:t>
      </w:r>
      <w:hyperlink r:id="rId17" w:history="1">
        <w:r w:rsidR="008C0F0B" w:rsidRPr="00DF6E16">
          <w:rPr>
            <w:rStyle w:val="Hyperlink"/>
            <w:rFonts w:ascii="Calibri" w:hAnsi="Calibri" w:cs="Calibri"/>
            <w:sz w:val="22"/>
            <w:szCs w:val="22"/>
          </w:rPr>
          <w:t>https://doi.org/10.3390/info16080650</w:t>
        </w:r>
      </w:hyperlink>
      <w:r w:rsidRPr="00240E3B">
        <w:rPr>
          <w:rFonts w:ascii="Calibri" w:hAnsi="Calibri" w:cs="Calibri"/>
          <w:sz w:val="22"/>
          <w:szCs w:val="22"/>
        </w:rPr>
        <w:t>.</w:t>
      </w:r>
    </w:p>
    <w:p w14:paraId="0DDF8436" w14:textId="77777777" w:rsidR="008C0F0B" w:rsidRDefault="008C0F0B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7E27F9D" w14:textId="57467A48" w:rsidR="008C0F0B" w:rsidRDefault="008C0F0B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8C0F0B">
        <w:rPr>
          <w:rFonts w:ascii="Calibri" w:hAnsi="Calibri" w:cs="Calibri"/>
          <w:sz w:val="22"/>
          <w:szCs w:val="22"/>
        </w:rPr>
        <w:t>[1</w:t>
      </w:r>
      <w:r>
        <w:rPr>
          <w:rFonts w:ascii="Calibri" w:hAnsi="Calibri" w:cs="Calibri"/>
          <w:sz w:val="22"/>
          <w:szCs w:val="22"/>
        </w:rPr>
        <w:t>8</w:t>
      </w:r>
      <w:r w:rsidRPr="008C0F0B">
        <w:rPr>
          <w:rFonts w:ascii="Calibri" w:hAnsi="Calibri" w:cs="Calibri"/>
          <w:sz w:val="22"/>
          <w:szCs w:val="22"/>
        </w:rPr>
        <w:t xml:space="preserve">] </w:t>
      </w:r>
    </w:p>
    <w:p w14:paraId="36D0020D" w14:textId="217CB2C2" w:rsidR="008C0F0B" w:rsidRDefault="008C0F0B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8C0F0B">
        <w:rPr>
          <w:rFonts w:ascii="Calibri" w:hAnsi="Calibri" w:cs="Calibri"/>
          <w:sz w:val="22"/>
          <w:szCs w:val="22"/>
        </w:rPr>
        <w:t xml:space="preserve">P. Norris, "Will New Technology Boost Turnout? Evaluating Experiments in UK Local Elections," in </w:t>
      </w:r>
      <w:r w:rsidRPr="008C0F0B">
        <w:rPr>
          <w:rFonts w:ascii="Calibri" w:hAnsi="Calibri" w:cs="Calibri"/>
          <w:i/>
          <w:iCs/>
          <w:sz w:val="22"/>
          <w:szCs w:val="22"/>
        </w:rPr>
        <w:t>Electronic Voting and Democracy: A Comparative Analysis</w:t>
      </w:r>
      <w:r w:rsidRPr="008C0F0B">
        <w:rPr>
          <w:rFonts w:ascii="Calibri" w:hAnsi="Calibri" w:cs="Calibri"/>
          <w:sz w:val="22"/>
          <w:szCs w:val="22"/>
        </w:rPr>
        <w:t xml:space="preserve">, N. Kersting and H. </w:t>
      </w:r>
      <w:proofErr w:type="spellStart"/>
      <w:r w:rsidRPr="008C0F0B">
        <w:rPr>
          <w:rFonts w:ascii="Calibri" w:hAnsi="Calibri" w:cs="Calibri"/>
          <w:sz w:val="22"/>
          <w:szCs w:val="22"/>
        </w:rPr>
        <w:t>Baldersheim</w:t>
      </w:r>
      <w:proofErr w:type="spellEnd"/>
      <w:r w:rsidRPr="008C0F0B">
        <w:rPr>
          <w:rFonts w:ascii="Calibri" w:hAnsi="Calibri" w:cs="Calibri"/>
          <w:sz w:val="22"/>
          <w:szCs w:val="22"/>
        </w:rPr>
        <w:t>, Eds. London, UK: Palgrave Macmillan, 2004, pp. 193–225.</w:t>
      </w:r>
    </w:p>
    <w:p w14:paraId="79BE48AA" w14:textId="77777777" w:rsidR="009937E0" w:rsidRDefault="009937E0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01D2EC1" w14:textId="53FC5497" w:rsidR="009937E0" w:rsidRPr="009937E0" w:rsidRDefault="009937E0" w:rsidP="009937E0">
      <w:pPr>
        <w:spacing w:line="240" w:lineRule="auto"/>
        <w:rPr>
          <w:rFonts w:ascii="Calibri" w:hAnsi="Calibri" w:cs="Calibri"/>
          <w:sz w:val="22"/>
          <w:szCs w:val="22"/>
        </w:rPr>
      </w:pPr>
      <w:r w:rsidRPr="009937E0"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sz w:val="22"/>
          <w:szCs w:val="22"/>
        </w:rPr>
        <w:t>19</w:t>
      </w:r>
      <w:r w:rsidRPr="009937E0">
        <w:rPr>
          <w:rFonts w:ascii="Calibri" w:hAnsi="Calibri" w:cs="Calibri"/>
          <w:sz w:val="22"/>
          <w:szCs w:val="22"/>
        </w:rPr>
        <w:t>]</w:t>
      </w:r>
    </w:p>
    <w:p w14:paraId="1A97773C" w14:textId="57B74095" w:rsidR="009937E0" w:rsidRDefault="009937E0" w:rsidP="009937E0">
      <w:pPr>
        <w:spacing w:line="240" w:lineRule="auto"/>
        <w:rPr>
          <w:rFonts w:ascii="Calibri" w:hAnsi="Calibri" w:cs="Calibri"/>
          <w:sz w:val="22"/>
          <w:szCs w:val="22"/>
        </w:rPr>
      </w:pPr>
      <w:r w:rsidRPr="009937E0">
        <w:rPr>
          <w:rFonts w:ascii="Calibri" w:hAnsi="Calibri" w:cs="Calibri"/>
          <w:sz w:val="22"/>
          <w:szCs w:val="22"/>
        </w:rPr>
        <w:t xml:space="preserve">T. Treier and K. </w:t>
      </w:r>
      <w:proofErr w:type="spellStart"/>
      <w:r w:rsidRPr="009937E0">
        <w:rPr>
          <w:rFonts w:ascii="Calibri" w:hAnsi="Calibri" w:cs="Calibri"/>
          <w:sz w:val="22"/>
          <w:szCs w:val="22"/>
        </w:rPr>
        <w:t>Düüna</w:t>
      </w:r>
      <w:proofErr w:type="spellEnd"/>
      <w:r w:rsidRPr="009937E0">
        <w:rPr>
          <w:rFonts w:ascii="Calibri" w:hAnsi="Calibri" w:cs="Calibri"/>
          <w:sz w:val="22"/>
          <w:szCs w:val="22"/>
        </w:rPr>
        <w:t xml:space="preserve">, “Identifying and Solving a Vulnerability in the Estonian Internet Voting Process: Subverting Ballot Integrity Without Detection,” </w:t>
      </w:r>
      <w:r w:rsidRPr="009937E0">
        <w:rPr>
          <w:rFonts w:ascii="Calibri" w:hAnsi="Calibri" w:cs="Calibri"/>
          <w:i/>
          <w:iCs/>
          <w:sz w:val="22"/>
          <w:szCs w:val="22"/>
        </w:rPr>
        <w:t>IEEE Access</w:t>
      </w:r>
      <w:r w:rsidRPr="009937E0">
        <w:rPr>
          <w:rFonts w:ascii="Calibri" w:hAnsi="Calibri" w:cs="Calibri"/>
          <w:sz w:val="22"/>
          <w:szCs w:val="22"/>
        </w:rPr>
        <w:t xml:space="preserve">, vol. 12, no. 10.1109/ACCESS.2024.3521337, pp. 197766–197782, 2024, </w:t>
      </w:r>
      <w:proofErr w:type="spellStart"/>
      <w:r w:rsidRPr="009937E0">
        <w:rPr>
          <w:rFonts w:ascii="Calibri" w:hAnsi="Calibri" w:cs="Calibri"/>
          <w:sz w:val="22"/>
          <w:szCs w:val="22"/>
        </w:rPr>
        <w:t>doi</w:t>
      </w:r>
      <w:proofErr w:type="spellEnd"/>
      <w:r w:rsidRPr="009937E0">
        <w:rPr>
          <w:rFonts w:ascii="Calibri" w:hAnsi="Calibri" w:cs="Calibri"/>
          <w:sz w:val="22"/>
          <w:szCs w:val="22"/>
        </w:rPr>
        <w:t xml:space="preserve">: </w:t>
      </w:r>
      <w:hyperlink r:id="rId18" w:history="1">
        <w:r w:rsidR="008C29CD" w:rsidRPr="009127B6">
          <w:rPr>
            <w:rStyle w:val="Hyperlink"/>
            <w:rFonts w:ascii="Calibri" w:hAnsi="Calibri" w:cs="Calibri"/>
            <w:sz w:val="22"/>
            <w:szCs w:val="22"/>
          </w:rPr>
          <w:t>https://doi.org/10.1109/access.2024.3521337</w:t>
        </w:r>
      </w:hyperlink>
      <w:r w:rsidRPr="009937E0">
        <w:rPr>
          <w:rFonts w:ascii="Calibri" w:hAnsi="Calibri" w:cs="Calibri"/>
          <w:sz w:val="22"/>
          <w:szCs w:val="22"/>
        </w:rPr>
        <w:t>.</w:t>
      </w:r>
    </w:p>
    <w:p w14:paraId="5364272F" w14:textId="030096A7" w:rsidR="008C29CD" w:rsidRPr="008C29CD" w:rsidRDefault="008C29CD" w:rsidP="008C29CD">
      <w:pPr>
        <w:spacing w:line="240" w:lineRule="auto"/>
        <w:rPr>
          <w:rFonts w:ascii="Calibri" w:hAnsi="Calibri" w:cs="Calibri"/>
          <w:sz w:val="22"/>
          <w:szCs w:val="22"/>
        </w:rPr>
      </w:pPr>
      <w:r w:rsidRPr="008C29CD">
        <w:rPr>
          <w:rFonts w:ascii="Calibri" w:hAnsi="Calibri" w:cs="Calibri"/>
          <w:sz w:val="22"/>
          <w:szCs w:val="22"/>
        </w:rPr>
        <w:t>[</w:t>
      </w:r>
      <w:r>
        <w:rPr>
          <w:rFonts w:ascii="Calibri" w:hAnsi="Calibri" w:cs="Calibri"/>
          <w:sz w:val="22"/>
          <w:szCs w:val="22"/>
        </w:rPr>
        <w:t>20</w:t>
      </w:r>
      <w:r w:rsidRPr="008C29CD">
        <w:rPr>
          <w:rFonts w:ascii="Calibri" w:hAnsi="Calibri" w:cs="Calibri"/>
          <w:sz w:val="22"/>
          <w:szCs w:val="22"/>
        </w:rPr>
        <w:t>]</w:t>
      </w:r>
    </w:p>
    <w:p w14:paraId="4440299D" w14:textId="77777777" w:rsidR="008C29CD" w:rsidRPr="008C29CD" w:rsidRDefault="008C29CD" w:rsidP="008C29CD">
      <w:pPr>
        <w:spacing w:line="240" w:lineRule="auto"/>
        <w:rPr>
          <w:rFonts w:ascii="Calibri" w:hAnsi="Calibri" w:cs="Calibri"/>
          <w:sz w:val="22"/>
          <w:szCs w:val="22"/>
        </w:rPr>
      </w:pPr>
      <w:r w:rsidRPr="008C29CD">
        <w:rPr>
          <w:rFonts w:ascii="Calibri" w:hAnsi="Calibri" w:cs="Calibri"/>
          <w:sz w:val="22"/>
          <w:szCs w:val="22"/>
        </w:rPr>
        <w:t xml:space="preserve">Q. Han, X. Zhang, S. Lu, X. Zhao, and Z. Yan, “An SGX-based online voting protocol with maximum voter privacy,” </w:t>
      </w:r>
      <w:r w:rsidRPr="008C29CD">
        <w:rPr>
          <w:rFonts w:ascii="Calibri" w:hAnsi="Calibri" w:cs="Calibri"/>
          <w:i/>
          <w:iCs/>
          <w:sz w:val="22"/>
          <w:szCs w:val="22"/>
        </w:rPr>
        <w:t>Journal of Systems Architecture</w:t>
      </w:r>
      <w:r w:rsidRPr="008C29CD">
        <w:rPr>
          <w:rFonts w:ascii="Calibri" w:hAnsi="Calibri" w:cs="Calibri"/>
          <w:sz w:val="22"/>
          <w:szCs w:val="22"/>
        </w:rPr>
        <w:t xml:space="preserve">, vol. 151, p. 103144, Jun. 2024, </w:t>
      </w:r>
      <w:proofErr w:type="spellStart"/>
      <w:r w:rsidRPr="008C29CD">
        <w:rPr>
          <w:rFonts w:ascii="Calibri" w:hAnsi="Calibri" w:cs="Calibri"/>
          <w:sz w:val="22"/>
          <w:szCs w:val="22"/>
        </w:rPr>
        <w:t>doi</w:t>
      </w:r>
      <w:proofErr w:type="spellEnd"/>
      <w:r w:rsidRPr="008C29CD">
        <w:rPr>
          <w:rFonts w:ascii="Calibri" w:hAnsi="Calibri" w:cs="Calibri"/>
          <w:sz w:val="22"/>
          <w:szCs w:val="22"/>
        </w:rPr>
        <w:t>: https://doi.org/10.1016/j.sysarc.2024.103144.</w:t>
      </w:r>
    </w:p>
    <w:p w14:paraId="5E583C8F" w14:textId="77777777" w:rsidR="008C29CD" w:rsidRPr="009937E0" w:rsidRDefault="008C29CD" w:rsidP="009937E0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65FDB51" w14:textId="77777777" w:rsidR="009937E0" w:rsidRPr="00240E3B" w:rsidRDefault="009937E0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532538E" w14:textId="77777777" w:rsidR="00E50FE8" w:rsidRPr="00240E3B" w:rsidRDefault="00E50FE8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3FD9317" w14:textId="77777777" w:rsidR="00EA5938" w:rsidRPr="00240E3B" w:rsidRDefault="00EA5938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E163290" w14:textId="77777777" w:rsidR="00DA150F" w:rsidRPr="00240E3B" w:rsidRDefault="00DA150F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E289A7E" w14:textId="77777777" w:rsidR="00085F07" w:rsidRPr="00240E3B" w:rsidRDefault="00085F07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24D8830" w14:textId="77777777" w:rsidR="00B904A7" w:rsidRPr="00240E3B" w:rsidRDefault="00B904A7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3F3873B" w14:textId="77777777" w:rsidR="00995690" w:rsidRPr="00240E3B" w:rsidRDefault="00995690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FA1DB7A" w14:textId="77777777" w:rsidR="00EF02F3" w:rsidRPr="00240E3B" w:rsidRDefault="00EF02F3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B161C77" w14:textId="77777777" w:rsidR="00816229" w:rsidRPr="00240E3B" w:rsidRDefault="0081622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B607172" w14:textId="77777777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175C6A14" w14:textId="77777777" w:rsidR="008A2B59" w:rsidRPr="00240E3B" w:rsidRDefault="008A2B59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6062D25B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4C76B15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5439E87" w14:textId="4C25BAAF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[10000]</w:t>
      </w:r>
    </w:p>
    <w:p w14:paraId="1E257723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t>Biometric access control system price (biometric auth pricing list for scanners)</w:t>
      </w:r>
    </w:p>
    <w:p w14:paraId="1E58483E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  <w:hyperlink r:id="rId19" w:history="1">
        <w:r w:rsidRPr="00240E3B">
          <w:rPr>
            <w:rStyle w:val="Hyperlink"/>
            <w:rFonts w:ascii="Calibri" w:hAnsi="Calibri" w:cs="Calibri"/>
            <w:sz w:val="22"/>
            <w:szCs w:val="22"/>
          </w:rPr>
          <w:t>https://getsafeandsound.com/blog/biometric-access-control-system-price/</w:t>
        </w:r>
      </w:hyperlink>
    </w:p>
    <w:p w14:paraId="0790B385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313457F7" w14:textId="77777777" w:rsidR="00A75ADC" w:rsidRPr="00240E3B" w:rsidRDefault="00A75ADC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24FDE43" w14:textId="77777777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2C55EAF6" w14:textId="77777777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4B425019" w14:textId="77777777" w:rsidR="00AB114D" w:rsidRPr="00240E3B" w:rsidRDefault="00AB114D" w:rsidP="00240E3B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5AFACE4E" w14:textId="62C95E26" w:rsidR="00BC1981" w:rsidRPr="00240E3B" w:rsidRDefault="00BC1981" w:rsidP="00240E3B">
      <w:pPr>
        <w:spacing w:line="240" w:lineRule="auto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br w:type="page"/>
      </w:r>
    </w:p>
    <w:p w14:paraId="622DD382" w14:textId="0353A14C" w:rsidR="00BC1981" w:rsidRPr="00240E3B" w:rsidRDefault="00BC1981" w:rsidP="00240E3B">
      <w:pPr>
        <w:spacing w:line="240" w:lineRule="auto"/>
        <w:jc w:val="center"/>
        <w:rPr>
          <w:rFonts w:ascii="Calibri" w:hAnsi="Calibri" w:cs="Calibri"/>
          <w:sz w:val="22"/>
          <w:szCs w:val="22"/>
        </w:rPr>
      </w:pPr>
      <w:r w:rsidRPr="00240E3B">
        <w:rPr>
          <w:rFonts w:ascii="Calibri" w:hAnsi="Calibri" w:cs="Calibri"/>
          <w:sz w:val="22"/>
          <w:szCs w:val="22"/>
        </w:rPr>
        <w:lastRenderedPageBreak/>
        <w:t xml:space="preserve">Appendix </w:t>
      </w:r>
    </w:p>
    <w:sectPr w:rsidR="00BC1981" w:rsidRPr="00240E3B" w:rsidSect="00D6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47BA"/>
    <w:multiLevelType w:val="hybridMultilevel"/>
    <w:tmpl w:val="E15C00BE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0BC0C29"/>
    <w:multiLevelType w:val="hybridMultilevel"/>
    <w:tmpl w:val="62EA0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13F9"/>
    <w:multiLevelType w:val="multilevel"/>
    <w:tmpl w:val="D1EE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F70BC"/>
    <w:multiLevelType w:val="hybridMultilevel"/>
    <w:tmpl w:val="34AE4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632D0"/>
    <w:multiLevelType w:val="multilevel"/>
    <w:tmpl w:val="3A2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24415"/>
    <w:multiLevelType w:val="hybridMultilevel"/>
    <w:tmpl w:val="9B7210FC"/>
    <w:lvl w:ilvl="0" w:tplc="A7C83A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518105">
    <w:abstractNumId w:val="3"/>
  </w:num>
  <w:num w:numId="2" w16cid:durableId="1354726548">
    <w:abstractNumId w:val="4"/>
  </w:num>
  <w:num w:numId="3" w16cid:durableId="290089421">
    <w:abstractNumId w:val="1"/>
  </w:num>
  <w:num w:numId="4" w16cid:durableId="1892689258">
    <w:abstractNumId w:val="2"/>
  </w:num>
  <w:num w:numId="5" w16cid:durableId="1620187207">
    <w:abstractNumId w:val="0"/>
  </w:num>
  <w:num w:numId="6" w16cid:durableId="1114060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5F"/>
    <w:rsid w:val="000263D3"/>
    <w:rsid w:val="00027CF8"/>
    <w:rsid w:val="000414F0"/>
    <w:rsid w:val="00077BC9"/>
    <w:rsid w:val="00085F07"/>
    <w:rsid w:val="000943AC"/>
    <w:rsid w:val="000C2BC7"/>
    <w:rsid w:val="000D692D"/>
    <w:rsid w:val="001128B9"/>
    <w:rsid w:val="00115D06"/>
    <w:rsid w:val="001718D8"/>
    <w:rsid w:val="001D0DC3"/>
    <w:rsid w:val="001F184C"/>
    <w:rsid w:val="0022735D"/>
    <w:rsid w:val="00240E3B"/>
    <w:rsid w:val="00281EBA"/>
    <w:rsid w:val="002A4A92"/>
    <w:rsid w:val="002D6633"/>
    <w:rsid w:val="0030279D"/>
    <w:rsid w:val="00312B6F"/>
    <w:rsid w:val="00325BE2"/>
    <w:rsid w:val="00331D87"/>
    <w:rsid w:val="00386B28"/>
    <w:rsid w:val="003B3A63"/>
    <w:rsid w:val="003C007C"/>
    <w:rsid w:val="003D25C2"/>
    <w:rsid w:val="003D7835"/>
    <w:rsid w:val="004206CA"/>
    <w:rsid w:val="00424A4F"/>
    <w:rsid w:val="00433BBC"/>
    <w:rsid w:val="0046798E"/>
    <w:rsid w:val="004A4697"/>
    <w:rsid w:val="004C3254"/>
    <w:rsid w:val="004D1C68"/>
    <w:rsid w:val="004F5296"/>
    <w:rsid w:val="00523A68"/>
    <w:rsid w:val="00530CFC"/>
    <w:rsid w:val="00534ED8"/>
    <w:rsid w:val="005771DE"/>
    <w:rsid w:val="005A3C5F"/>
    <w:rsid w:val="005B247F"/>
    <w:rsid w:val="005D4606"/>
    <w:rsid w:val="005F0653"/>
    <w:rsid w:val="005F6E2C"/>
    <w:rsid w:val="00620688"/>
    <w:rsid w:val="00641597"/>
    <w:rsid w:val="00650A41"/>
    <w:rsid w:val="00653280"/>
    <w:rsid w:val="00663AA6"/>
    <w:rsid w:val="00674302"/>
    <w:rsid w:val="006755AA"/>
    <w:rsid w:val="006A0820"/>
    <w:rsid w:val="006B3E0B"/>
    <w:rsid w:val="006F76E9"/>
    <w:rsid w:val="006F7DF7"/>
    <w:rsid w:val="00757208"/>
    <w:rsid w:val="00770D7A"/>
    <w:rsid w:val="007D0AC1"/>
    <w:rsid w:val="007D6EB8"/>
    <w:rsid w:val="007F087B"/>
    <w:rsid w:val="0081586C"/>
    <w:rsid w:val="00816229"/>
    <w:rsid w:val="00837E8F"/>
    <w:rsid w:val="00844D5E"/>
    <w:rsid w:val="008867DE"/>
    <w:rsid w:val="0089782C"/>
    <w:rsid w:val="008A2B59"/>
    <w:rsid w:val="008A4987"/>
    <w:rsid w:val="008C0F0B"/>
    <w:rsid w:val="008C29CD"/>
    <w:rsid w:val="008D016A"/>
    <w:rsid w:val="008E5FA0"/>
    <w:rsid w:val="008F1076"/>
    <w:rsid w:val="008F686B"/>
    <w:rsid w:val="00916C7D"/>
    <w:rsid w:val="009238F8"/>
    <w:rsid w:val="0095236E"/>
    <w:rsid w:val="00965532"/>
    <w:rsid w:val="00971233"/>
    <w:rsid w:val="009937E0"/>
    <w:rsid w:val="00995690"/>
    <w:rsid w:val="009A19FA"/>
    <w:rsid w:val="00A14D4F"/>
    <w:rsid w:val="00A44181"/>
    <w:rsid w:val="00A62EC2"/>
    <w:rsid w:val="00A6471B"/>
    <w:rsid w:val="00A75ADC"/>
    <w:rsid w:val="00AB114D"/>
    <w:rsid w:val="00AC4F99"/>
    <w:rsid w:val="00B01F31"/>
    <w:rsid w:val="00B06B9C"/>
    <w:rsid w:val="00B1156C"/>
    <w:rsid w:val="00B57755"/>
    <w:rsid w:val="00B57B98"/>
    <w:rsid w:val="00B741F1"/>
    <w:rsid w:val="00B82985"/>
    <w:rsid w:val="00B84838"/>
    <w:rsid w:val="00B868FF"/>
    <w:rsid w:val="00B904A7"/>
    <w:rsid w:val="00B90B38"/>
    <w:rsid w:val="00B96E16"/>
    <w:rsid w:val="00BB4B20"/>
    <w:rsid w:val="00BC1981"/>
    <w:rsid w:val="00BE0DA2"/>
    <w:rsid w:val="00C02F41"/>
    <w:rsid w:val="00C50A7D"/>
    <w:rsid w:val="00D0479E"/>
    <w:rsid w:val="00D13284"/>
    <w:rsid w:val="00D17BC1"/>
    <w:rsid w:val="00D21153"/>
    <w:rsid w:val="00D628BA"/>
    <w:rsid w:val="00D75BDC"/>
    <w:rsid w:val="00D81C55"/>
    <w:rsid w:val="00DA150F"/>
    <w:rsid w:val="00DB5BBB"/>
    <w:rsid w:val="00DB5C66"/>
    <w:rsid w:val="00DC4625"/>
    <w:rsid w:val="00DD67F0"/>
    <w:rsid w:val="00E47977"/>
    <w:rsid w:val="00E50FE8"/>
    <w:rsid w:val="00E63798"/>
    <w:rsid w:val="00E9061C"/>
    <w:rsid w:val="00EA5938"/>
    <w:rsid w:val="00EA5C02"/>
    <w:rsid w:val="00ED5481"/>
    <w:rsid w:val="00EF02F3"/>
    <w:rsid w:val="00EF55E4"/>
    <w:rsid w:val="00EF5BBA"/>
    <w:rsid w:val="00F75CB9"/>
    <w:rsid w:val="00F82E5F"/>
    <w:rsid w:val="00FA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0F33"/>
  <w15:chartTrackingRefBased/>
  <w15:docId w15:val="{04B8702F-D8D1-A140-BDCD-01CDE664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5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2115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916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12B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sym11020141" TargetMode="External"/><Relationship Id="rId13" Type="http://schemas.openxmlformats.org/officeDocument/2006/relationships/hyperlink" Target="https://ijees.org/index.php/ijees/article/view/106" TargetMode="External"/><Relationship Id="rId18" Type="http://schemas.openxmlformats.org/officeDocument/2006/relationships/hyperlink" Target="https://doi.org/10.1109/access.2024.3521337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doi.org/10.1016/j.heliyon.2024.e36390" TargetMode="External"/><Relationship Id="rId12" Type="http://schemas.openxmlformats.org/officeDocument/2006/relationships/hyperlink" Target="https://doi.org/10.1109/comst.2019.2914453" TargetMode="External"/><Relationship Id="rId17" Type="http://schemas.openxmlformats.org/officeDocument/2006/relationships/hyperlink" Target="https://doi.org/10.3390/info1608065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5281/zenodo.1839855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978-3-030-29407-6_36" TargetMode="External"/><Relationship Id="rId11" Type="http://schemas.openxmlformats.org/officeDocument/2006/relationships/hyperlink" Target="https://doi.org/10.1186/s13174-017-0073-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77/1369148117715222" TargetMode="External"/><Relationship Id="rId10" Type="http://schemas.openxmlformats.org/officeDocument/2006/relationships/hyperlink" Target="https://doi.org/10.1049/iet-bmt.2017.0089" TargetMode="External"/><Relationship Id="rId19" Type="http://schemas.openxmlformats.org/officeDocument/2006/relationships/hyperlink" Target="https://getsafeandsound.com/blog/biometric-access-control-system-pri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mi14061253" TargetMode="External"/><Relationship Id="rId14" Type="http://schemas.openxmlformats.org/officeDocument/2006/relationships/hyperlink" Target="https://doi.org/10.1186/s42400-024-00208-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BDF87-063B-4D3B-B6C6-D63D343A4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5</Pages>
  <Words>828</Words>
  <Characters>5277</Characters>
  <Application>Microsoft Office Word</Application>
  <DocSecurity>0</DocSecurity>
  <Lines>128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23</cp:revision>
  <dcterms:created xsi:type="dcterms:W3CDTF">2026-01-20T15:43:00Z</dcterms:created>
  <dcterms:modified xsi:type="dcterms:W3CDTF">2026-02-04T16:10:00Z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2026-01-20T15:42:43Z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40c31d90-ae4e-4b96-b3be-3b188de29467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50, 3, 0, 1</vt:lpwstr>
  </property>
</Properties>
</file>