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Pronto"/>
        <w:jc w:val="center"/>
      </w:pPr>
      <w:r>
        <w:rPr>
          <w:rFonts w:ascii="Aptos" w:hAnsi="Aptos"/>
          <w:b/>
          <w:color w:val="1F4E79"/>
          <w:sz w:val="50"/>
        </w:rPr>
        <w:t>Pronto – Executive Summary</w:t>
      </w:r>
    </w:p>
    <w:p>
      <w:pPr>
        <w:pStyle w:val="SubtitlePronto"/>
        <w:jc w:val="center"/>
      </w:pPr>
      <w:r>
        <w:rPr>
          <w:rFonts w:ascii="Aptos" w:hAnsi="Aptos"/>
          <w:b w:val="0"/>
          <w:color w:val="000000"/>
          <w:sz w:val="21"/>
        </w:rPr>
        <w:t>Home Services Platform  |  Yuval Harel &amp; Or Cohen</w:t>
      </w:r>
    </w:p>
    <w:p>
      <w:pPr>
        <w:pStyle w:val="SectionHeading"/>
        <w:keepNext/>
        <w:spacing w:before="400" w:after="180"/>
      </w:pPr>
      <w:r>
        <w:rPr>
          <w:rFonts w:ascii="Aptos" w:hAnsi="Aptos"/>
          <w:b/>
          <w:color w:val="1F4E79"/>
          <w:sz w:val="32"/>
        </w:rPr>
        <w:t>1. Overview</w:t>
      </w:r>
    </w:p>
    <w:p>
      <w:pPr>
        <w:pStyle w:val="BodyText"/>
        <w:widowControl/>
        <w:spacing w:after="160" w:line="264" w:lineRule="auto"/>
      </w:pPr>
      <w:r>
        <w:rPr>
          <w:rFonts w:ascii="Aptos" w:hAnsi="Aptos"/>
          <w:color w:val="000000"/>
          <w:sz w:val="21"/>
        </w:rPr>
        <w:t>Pronto is a digital platform designed to simplify and modernize the home-services experience for both customers and service professionals. The platform manages the service process end-to-end – from identifying the customer’s issue and finding the appropriate professional to booking, arrival updates, service coordination, and completion.</w:t>
      </w:r>
    </w:p>
    <w:p>
      <w:pPr>
        <w:pStyle w:val="BodyText"/>
        <w:widowControl/>
        <w:spacing w:after="160" w:line="264" w:lineRule="auto"/>
      </w:pPr>
      <w:r>
        <w:rPr>
          <w:rFonts w:ascii="Aptos" w:hAnsi="Aptos"/>
          <w:color w:val="000000"/>
          <w:sz w:val="21"/>
        </w:rPr>
        <w:t>For customers, Pronto enables users to describe the problem and upload photos of the issue, which are analyzed by an AI-based classification engine to identify the relevant service category. Customers can then compare available professionals based on profile information, ratings, reviews, availability, and service-visit price, and choose the professional that best fits their needs. The platform also supports scheduled and urgent SOS bookings, real-time service updates, and GPS-based arrival estimates.</w:t>
      </w:r>
    </w:p>
    <w:p>
      <w:pPr>
        <w:pStyle w:val="BodyText"/>
        <w:widowControl/>
        <w:spacing w:after="160" w:line="264" w:lineRule="auto"/>
      </w:pPr>
      <w:r>
        <w:rPr>
          <w:rFonts w:ascii="Aptos" w:hAnsi="Aptos"/>
          <w:color w:val="000000"/>
          <w:sz w:val="21"/>
        </w:rPr>
        <w:t>For service professionals, Pronto centralizes incoming requests, availability, appointments, reviews, and profile management, while providing clear, pre-classified service requests.</w:t>
      </w:r>
    </w:p>
    <w:p>
      <w:pPr>
        <w:pStyle w:val="SectionHeading"/>
        <w:keepNext/>
        <w:spacing w:before="400" w:after="180"/>
      </w:pPr>
      <w:r>
        <w:rPr>
          <w:rFonts w:ascii="Aptos" w:hAnsi="Aptos"/>
          <w:b/>
          <w:color w:val="1F4E79"/>
          <w:sz w:val="32"/>
        </w:rPr>
        <w:t>2. The Problem, Target Audience &amp; Need Validation</w:t>
      </w:r>
    </w:p>
    <w:p>
      <w:pPr>
        <w:pStyle w:val="Subheading"/>
        <w:keepNext/>
        <w:spacing w:before="200" w:after="100"/>
      </w:pPr>
      <w:r>
        <w:rPr>
          <w:rFonts w:ascii="Aptos" w:hAnsi="Aptos"/>
          <w:b/>
          <w:color w:val="1F4E79"/>
          <w:sz w:val="23"/>
        </w:rPr>
        <w:t>The Problem</w:t>
      </w:r>
    </w:p>
    <w:p>
      <w:pPr>
        <w:pStyle w:val="BodyText"/>
        <w:widowControl/>
        <w:spacing w:after="160" w:line="264" w:lineRule="auto"/>
      </w:pPr>
      <w:r>
        <w:rPr>
          <w:rFonts w:ascii="Aptos" w:hAnsi="Aptos"/>
          <w:color w:val="000000"/>
          <w:sz w:val="21"/>
        </w:rPr>
        <w:t>The home-services market creates friction for both customers and service professionals. Customers often struggle to find a reliable professional, compare prices, coordinate availability, and understand when the professional will actually arrive. Delays and limited communication can force customers to reorganize their day around uncertain arrival windows. Service professionals face a different set of challenges, including time spent handling inquiries, understanding poorly described issues, coordinating appointments, managing schedule changes, and attracting relevant customers.</w:t>
      </w:r>
    </w:p>
    <w:p>
      <w:pPr>
        <w:pStyle w:val="Subheading"/>
        <w:keepNext/>
        <w:spacing w:before="200" w:after="100"/>
      </w:pPr>
      <w:r>
        <w:rPr>
          <w:rFonts w:ascii="Aptos" w:hAnsi="Aptos"/>
          <w:b/>
          <w:color w:val="1F4E79"/>
          <w:sz w:val="23"/>
        </w:rPr>
        <w:t>Target Audience</w:t>
      </w:r>
    </w:p>
    <w:p>
      <w:pPr>
        <w:pStyle w:val="BodyText"/>
        <w:widowControl/>
        <w:spacing w:after="160" w:line="264" w:lineRule="auto"/>
      </w:pPr>
      <w:r>
        <w:rPr>
          <w:rFonts w:ascii="Aptos" w:hAnsi="Aptos"/>
          <w:color w:val="000000"/>
          <w:sz w:val="21"/>
        </w:rPr>
        <w:t>Pronto serves two main user groups: homeowners and renters looking for reliable home-service professionals, including customers with urgent service needs; and independent service professionals or small service businesses seeking a more efficient way to receive relevant requests and manage availability and appointments.</w:t>
      </w:r>
    </w:p>
    <w:p>
      <w:pPr>
        <w:pStyle w:val="Subheading"/>
        <w:keepNext/>
        <w:spacing w:before="200" w:after="100"/>
      </w:pPr>
      <w:r>
        <w:rPr>
          <w:rFonts w:ascii="Aptos" w:hAnsi="Aptos"/>
          <w:b/>
          <w:color w:val="1F4E79"/>
          <w:sz w:val="23"/>
        </w:rPr>
        <w:t>Need Validation</w:t>
      </w:r>
    </w:p>
    <w:p>
      <w:pPr>
        <w:pStyle w:val="BodyText"/>
        <w:widowControl/>
        <w:spacing w:after="160" w:line="264" w:lineRule="auto"/>
      </w:pPr>
      <w:r>
        <w:rPr>
          <w:rFonts w:ascii="Aptos" w:hAnsi="Aptos"/>
          <w:color w:val="000000"/>
          <w:sz w:val="21"/>
        </w:rPr>
        <w:t>The team validated the need through primary research, including a customer survey with 65 respondents and qualitative interviews. The results showed recurring pain points around search, coordination, arrival uncertainty, and access to clear information before booking.</w:t>
      </w:r>
      <w:r>
        <w:rPr>
          <w:rFonts w:ascii="Aptos" w:hAnsi="Aptos"/>
          <w:color w:val="000000"/>
          <w:sz w:val="21"/>
          <w:vertAlign w:val="superscript"/>
        </w:rPr>
        <w:t xml:space="preserve"> [1]</w:t>
      </w:r>
    </w:p>
    <w:p>
      <w:pPr>
        <w:pStyle w:val="Subheading"/>
        <w:keepNext/>
        <w:spacing w:before="200" w:after="100"/>
      </w:pPr>
      <w:r>
        <w:rPr>
          <w:rFonts w:ascii="Aptos" w:hAnsi="Aptos"/>
          <w:b/>
          <w:color w:val="1F4E79"/>
          <w:sz w:val="23"/>
        </w:rPr>
        <w:t>Primary Research Highlights</w:t>
      </w:r>
    </w:p>
    <w:p>
      <w:pPr>
        <w:pStyle w:val="BodyText"/>
        <w:keepNext/>
        <w:keepLines/>
        <w:widowControl/>
        <w:spacing w:after="120" w:line="252" w:lineRule="auto"/>
        <w:ind w:left="432" w:hanging="288"/>
      </w:pPr>
      <w:r>
        <w:rPr>
          <w:rFonts w:ascii="Aptos" w:hAnsi="Aptos"/>
          <w:b/>
          <w:color w:val="000000"/>
          <w:sz w:val="21"/>
        </w:rPr>
        <w:t>1. 55.4%</w:t>
      </w:r>
      <w:r>
        <w:rPr>
          <w:rFonts w:ascii="Aptos" w:hAnsi="Aptos"/>
          <w:b w:val="0"/>
          <w:color w:val="000000"/>
          <w:sz w:val="21"/>
        </w:rPr>
        <w:t xml:space="preserve"> needed several hours or more to find a professional willing to arrive</w:t>
      </w:r>
    </w:p>
    <w:p>
      <w:pPr>
        <w:pStyle w:val="BodyText"/>
        <w:keepNext w:val="0"/>
        <w:keepLines/>
        <w:widowControl/>
        <w:spacing w:after="120" w:line="252" w:lineRule="auto"/>
        <w:ind w:left="432" w:hanging="288"/>
      </w:pPr>
      <w:r>
        <w:rPr>
          <w:rFonts w:ascii="Aptos" w:hAnsi="Aptos"/>
          <w:b/>
          <w:color w:val="000000"/>
          <w:sz w:val="21"/>
        </w:rPr>
        <w:t>2. 66.2%</w:t>
      </w:r>
      <w:r>
        <w:rPr>
          <w:rFonts w:ascii="Aptos" w:hAnsi="Aptos"/>
          <w:b w:val="0"/>
          <w:color w:val="000000"/>
          <w:sz w:val="21"/>
        </w:rPr>
        <w:t xml:space="preserve"> experienced a professional arriving later than scheduled</w:t>
      </w:r>
    </w:p>
    <w:p>
      <w:pPr>
        <w:pStyle w:val="BodyText"/>
        <w:keepLines/>
        <w:widowControl/>
        <w:spacing w:after="120" w:line="252" w:lineRule="auto"/>
        <w:ind w:left="432" w:hanging="288"/>
      </w:pPr>
      <w:r>
        <w:rPr>
          <w:rFonts w:ascii="Aptos" w:hAnsi="Aptos"/>
          <w:b/>
          <w:color w:val="000000"/>
          <w:sz w:val="21"/>
        </w:rPr>
        <w:t>3. 35.4%</w:t>
      </w:r>
      <w:r>
        <w:rPr>
          <w:rFonts w:ascii="Aptos" w:hAnsi="Aptos"/>
          <w:b w:val="0"/>
          <w:color w:val="000000"/>
          <w:sz w:val="21"/>
        </w:rPr>
        <w:t xml:space="preserve"> experienced a professional not arriving at all</w:t>
      </w:r>
    </w:p>
    <w:p>
      <w:pPr>
        <w:pStyle w:val="BodyText"/>
        <w:keepLines/>
        <w:widowControl/>
        <w:spacing w:after="120" w:line="252" w:lineRule="auto"/>
        <w:ind w:left="432" w:hanging="288"/>
      </w:pPr>
      <w:r>
        <w:rPr>
          <w:rFonts w:ascii="Aptos" w:hAnsi="Aptos"/>
          <w:b/>
          <w:color w:val="000000"/>
          <w:sz w:val="21"/>
        </w:rPr>
        <w:t>4. 66.2%</w:t>
      </w:r>
      <w:r>
        <w:rPr>
          <w:rFonts w:ascii="Aptos" w:hAnsi="Aptos"/>
          <w:b w:val="0"/>
          <w:color w:val="000000"/>
          <w:sz w:val="21"/>
        </w:rPr>
        <w:t xml:space="preserve"> had to cancel or change plans because of the wait</w:t>
      </w:r>
    </w:p>
    <w:p>
      <w:pPr>
        <w:pStyle w:val="BodyText"/>
        <w:keepLines/>
        <w:widowControl/>
        <w:spacing w:after="120" w:line="252" w:lineRule="auto"/>
        <w:ind w:left="432" w:hanging="288"/>
      </w:pPr>
      <w:r>
        <w:rPr>
          <w:rFonts w:ascii="Aptos" w:hAnsi="Aptos"/>
          <w:b/>
          <w:color w:val="000000"/>
          <w:sz w:val="21"/>
        </w:rPr>
        <w:t>5. 70.7%</w:t>
      </w:r>
      <w:r>
        <w:rPr>
          <w:rFonts w:ascii="Aptos" w:hAnsi="Aptos"/>
          <w:b w:val="0"/>
          <w:color w:val="000000"/>
          <w:sz w:val="21"/>
        </w:rPr>
        <w:t xml:space="preserve"> rated real-time availability and arrival information as highly important</w:t>
      </w:r>
    </w:p>
    <w:p>
      <w:pPr>
        <w:pStyle w:val="BodyText"/>
        <w:widowControl/>
        <w:spacing w:after="160" w:line="264" w:lineRule="auto"/>
      </w:pPr>
      <w:r>
        <w:rPr>
          <w:rFonts w:ascii="Aptos" w:hAnsi="Aptos"/>
          <w:color w:val="000000"/>
          <w:sz w:val="21"/>
        </w:rPr>
        <w:t>The interviews reinforced these findings. Customers described wasted time contacting multiple professionals, uncertainty around price and arrival time, and a strong reliance on reviews when choosing whom to hire. The professional interview highlighted scheduling difficulties, inaccurate issue descriptions, and time spent on coordination and customer verification.</w:t>
      </w:r>
      <w:r>
        <w:rPr>
          <w:rFonts w:ascii="Aptos" w:hAnsi="Aptos"/>
          <w:color w:val="000000"/>
          <w:sz w:val="21"/>
          <w:vertAlign w:val="superscript"/>
        </w:rPr>
        <w:t xml:space="preserve"> [1]</w:t>
      </w:r>
    </w:p>
    <w:p>
      <w:pPr>
        <w:pStyle w:val="BodyText"/>
        <w:widowControl/>
        <w:spacing w:after="160" w:line="264" w:lineRule="auto"/>
      </w:pPr>
      <w:r>
        <w:rPr>
          <w:rFonts w:ascii="Aptos" w:hAnsi="Aptos"/>
          <w:color w:val="000000"/>
          <w:sz w:val="21"/>
        </w:rPr>
        <w:t>The primary research is consistent with broader market evidence. Angi’s 2024 State of Home Spending Report found that 43% of surveyed U.S. homeowners reported increased stress related to home repairs and maintenance, while 54% struggled to find skilled professionals. Scorpion reports that 75% of home-service businesses in its survey invest in digital advertising, illustrating the competitive pressure to acquire customer visibility and leads.</w:t>
      </w:r>
      <w:r>
        <w:rPr>
          <w:rFonts w:ascii="Aptos" w:hAnsi="Aptos"/>
          <w:color w:val="000000"/>
          <w:sz w:val="21"/>
          <w:vertAlign w:val="superscript"/>
        </w:rPr>
        <w:t xml:space="preserve"> [2]</w:t>
      </w:r>
      <w:r>
        <w:rPr>
          <w:rFonts w:ascii="Aptos" w:hAnsi="Aptos"/>
          <w:color w:val="000000"/>
          <w:sz w:val="21"/>
          <w:vertAlign w:val="superscript"/>
        </w:rPr>
        <w:t xml:space="preserve"> [3]</w:t>
      </w:r>
    </w:p>
    <w:p>
      <w:pPr>
        <w:pStyle w:val="BodyText"/>
        <w:widowControl/>
        <w:spacing w:after="160" w:line="264" w:lineRule="auto"/>
      </w:pPr>
      <w:r>
        <w:rPr>
          <w:rFonts w:ascii="Aptos" w:hAnsi="Aptos"/>
          <w:color w:val="000000"/>
          <w:sz w:val="21"/>
        </w:rPr>
        <w:t>In Israel, consumer-protection regulation also highlights the importance of reliable arrival commitments. Under the “Technicians Law” provisions of the Consumer Protection Law, consumers may be entitled to compensation of up to ₪600 for significant delays. The existence of this protection indicates that technician delays and prolonged waiting are recognized as meaningful consumer issues.</w:t>
      </w:r>
      <w:r>
        <w:rPr>
          <w:rFonts w:ascii="Aptos" w:hAnsi="Aptos"/>
          <w:color w:val="000000"/>
          <w:sz w:val="21"/>
          <w:vertAlign w:val="superscript"/>
        </w:rPr>
        <w:t xml:space="preserve"> [4]</w:t>
      </w:r>
    </w:p>
    <w:p>
      <w:pPr>
        <w:pStyle w:val="SectionHeading"/>
        <w:keepNext/>
        <w:spacing w:before="400" w:after="180"/>
      </w:pPr>
      <w:r>
        <w:rPr>
          <w:rFonts w:ascii="Aptos" w:hAnsi="Aptos"/>
          <w:b/>
          <w:color w:val="1F4E79"/>
          <w:sz w:val="32"/>
        </w:rPr>
        <w:t>3. The Product &amp; Value Proposition</w:t>
      </w:r>
    </w:p>
    <w:p>
      <w:pPr>
        <w:pStyle w:val="BodyText"/>
        <w:widowControl/>
        <w:spacing w:after="160" w:line="264" w:lineRule="auto"/>
      </w:pPr>
      <w:r>
        <w:rPr>
          <w:rFonts w:ascii="Aptos" w:hAnsi="Aptos"/>
          <w:color w:val="000000"/>
          <w:sz w:val="21"/>
        </w:rPr>
        <w:t>Pronto provides an end-to-end platform for managing the home-service process, connecting customers with relevant service professionals while supporting both sides throughout the service journey.</w:t>
      </w:r>
    </w:p>
    <w:p>
      <w:pPr>
        <w:pStyle w:val="ItemHeading"/>
        <w:keepLines/>
        <w:widowControl/>
        <w:spacing w:after="120" w:line="259" w:lineRule="auto" w:before="0"/>
        <w:ind w:left="403" w:hanging="317"/>
      </w:pPr>
      <w:r>
        <w:rPr>
          <w:rFonts w:ascii="Aptos" w:hAnsi="Aptos"/>
          <w:b/>
          <w:color w:val="1F4E79"/>
          <w:sz w:val="21"/>
        </w:rPr>
        <w:t>1. AI-assisted issue classification</w:t>
      </w:r>
    </w:p>
    <w:p>
      <w:pPr>
        <w:pStyle w:val="ItemBody"/>
      </w:pPr>
      <w:r>
        <w:rPr>
          <w:rFonts w:ascii="Aptos" w:hAnsi="Aptos"/>
          <w:b w:val="0"/>
          <w:color w:val="000000"/>
          <w:sz w:val="21"/>
        </w:rPr>
        <w:t>The customer describes the problem and uploads photos. The system analyzes the information, recommends the relevant service category, and helps direct the request to suitable professionals.</w:t>
      </w:r>
    </w:p>
    <w:p>
      <w:pPr>
        <w:pStyle w:val="ItemHeading"/>
        <w:keepLines/>
        <w:widowControl/>
        <w:spacing w:after="120" w:line="259" w:lineRule="auto" w:before="0"/>
        <w:ind w:left="403" w:hanging="317"/>
      </w:pPr>
      <w:r>
        <w:rPr>
          <w:rFonts w:ascii="Aptos" w:hAnsi="Aptos"/>
          <w:b/>
          <w:color w:val="1F4E79"/>
          <w:sz w:val="21"/>
        </w:rPr>
        <w:t>2. Professional comparison and booking</w:t>
      </w:r>
    </w:p>
    <w:p>
      <w:pPr>
        <w:pStyle w:val="ItemBody"/>
      </w:pPr>
      <w:r>
        <w:rPr>
          <w:rFonts w:ascii="Aptos" w:hAnsi="Aptos"/>
          <w:b w:val="0"/>
          <w:color w:val="000000"/>
          <w:sz w:val="21"/>
        </w:rPr>
        <w:t>Customers can compare availability, service-visit price, profile information, ratings, and reviews before selecting the professional that best fits their needs.</w:t>
      </w:r>
    </w:p>
    <w:p>
      <w:pPr>
        <w:pStyle w:val="ItemHeading"/>
        <w:keepLines/>
        <w:widowControl/>
        <w:spacing w:after="120" w:line="259" w:lineRule="auto" w:before="0"/>
        <w:ind w:left="403" w:hanging="317"/>
      </w:pPr>
      <w:r>
        <w:rPr>
          <w:rFonts w:ascii="Aptos" w:hAnsi="Aptos"/>
          <w:b/>
          <w:color w:val="1F4E79"/>
          <w:sz w:val="21"/>
        </w:rPr>
        <w:t>3. Standard and SOS service paths</w:t>
      </w:r>
    </w:p>
    <w:p>
      <w:pPr>
        <w:pStyle w:val="ItemBody"/>
      </w:pPr>
      <w:r>
        <w:rPr>
          <w:rFonts w:ascii="Aptos" w:hAnsi="Aptos"/>
          <w:b w:val="0"/>
          <w:color w:val="000000"/>
          <w:sz w:val="21"/>
        </w:rPr>
        <w:t>Pronto supports planned bookings as well as urgent requests when customers need a professional who is available immediately.</w:t>
      </w:r>
    </w:p>
    <w:p>
      <w:pPr>
        <w:pStyle w:val="ItemHeading"/>
        <w:keepLines/>
        <w:widowControl/>
        <w:spacing w:after="120" w:line="259" w:lineRule="auto" w:before="0"/>
        <w:ind w:left="403" w:hanging="317"/>
      </w:pPr>
      <w:r>
        <w:rPr>
          <w:rFonts w:ascii="Aptos" w:hAnsi="Aptos"/>
          <w:b/>
          <w:color w:val="1F4E79"/>
          <w:sz w:val="21"/>
        </w:rPr>
        <w:t>4. Real-time service visibility</w:t>
      </w:r>
    </w:p>
    <w:p>
      <w:pPr>
        <w:pStyle w:val="ItemBody"/>
      </w:pPr>
      <w:r>
        <w:rPr>
          <w:rFonts w:ascii="Aptos" w:hAnsi="Aptos"/>
          <w:b w:val="0"/>
          <w:color w:val="000000"/>
          <w:sz w:val="21"/>
        </w:rPr>
        <w:t>After booking, customers receive live status updates and GPS-based distance and estimated arrival information, reducing uncertainty throughout the service process.</w:t>
      </w:r>
    </w:p>
    <w:p>
      <w:pPr>
        <w:pStyle w:val="ItemHeading"/>
        <w:keepNext/>
        <w:keepLines/>
        <w:widowControl/>
        <w:spacing w:after="120" w:line="259" w:lineRule="auto" w:before="0"/>
        <w:ind w:left="403" w:hanging="317"/>
      </w:pPr>
      <w:r>
        <w:rPr>
          <w:rFonts w:ascii="Aptos" w:hAnsi="Aptos"/>
          <w:b/>
          <w:color w:val="1F4E79"/>
          <w:sz w:val="21"/>
        </w:rPr>
        <w:t>5. Professional management environment</w:t>
      </w:r>
    </w:p>
    <w:p>
      <w:pPr>
        <w:pStyle w:val="ItemBody"/>
      </w:pPr>
      <w:r>
        <w:rPr>
          <w:rFonts w:ascii="Aptos" w:hAnsi="Aptos"/>
          <w:b w:val="0"/>
          <w:color w:val="000000"/>
          <w:sz w:val="21"/>
        </w:rPr>
        <w:t>Professionals receive structured, pre-classified requests and can manage availability, appointments, SOS availability, jobs, reviews, and profile information through a centralized dashboard.</w:t>
      </w:r>
    </w:p>
    <w:p>
      <w:pPr>
        <w:pStyle w:val="BodyText"/>
        <w:keepLines/>
        <w:widowControl/>
        <w:spacing w:after="160" w:line="264" w:lineRule="auto" w:before="60"/>
        <w:ind w:left="259" w:right="173"/>
      </w:pPr>
      <w:r>
        <w:rPr>
          <w:rFonts w:ascii="Aptos" w:hAnsi="Aptos"/>
          <w:b/>
          <w:color w:val="000000"/>
          <w:sz w:val="21"/>
        </w:rPr>
        <w:t>Two-sided value proposition:</w:t>
      </w:r>
      <w:r>
        <w:rPr>
          <w:rFonts w:ascii="Aptos" w:hAnsi="Aptos"/>
          <w:b w:val="0"/>
          <w:color w:val="000000"/>
          <w:sz w:val="21"/>
        </w:rPr>
        <w:t xml:space="preserve"> customers gain a faster, more transparent and informed way to find and coordinate home services, while professionals gain a more organized way to receive relevant jobs and manage their workload.</w:t>
      </w:r>
    </w:p>
    <w:p>
      <w:pPr>
        <w:pStyle w:val="SectionHeading"/>
        <w:keepNext/>
        <w:spacing w:before="400" w:after="180"/>
      </w:pPr>
      <w:r>
        <w:rPr>
          <w:rFonts w:ascii="Aptos" w:hAnsi="Aptos"/>
          <w:b/>
          <w:color w:val="1F4E79"/>
          <w:sz w:val="32"/>
        </w:rPr>
        <w:t>4. Innovation &amp; Competitive Advantage</w:t>
      </w:r>
    </w:p>
    <w:p>
      <w:pPr>
        <w:pStyle w:val="BodyText"/>
        <w:widowControl/>
        <w:spacing w:after="160" w:line="264" w:lineRule="auto"/>
      </w:pPr>
      <w:r>
        <w:rPr>
          <w:rFonts w:ascii="Aptos" w:hAnsi="Aptos"/>
          <w:color w:val="000000"/>
          <w:sz w:val="21"/>
        </w:rPr>
        <w:t>Pronto differentiates itself by managing the service process beyond the initial search for a professional. In the team’s competitive analysis, platforms such as Easy, Midrag, and HaMikzoanim emphasize discovery, ratings, reviews, and provider information. Pronto is designed to extend that experience into issue classification, professional selection, booking, scheduling, arrival information, and service-status management within one coordinated workflow.</w:t>
      </w:r>
    </w:p>
    <w:p>
      <w:pPr>
        <w:pStyle w:val="ItemHeading"/>
        <w:keepLines/>
        <w:widowControl/>
        <w:spacing w:after="120" w:line="259" w:lineRule="auto" w:before="0"/>
        <w:ind w:left="403" w:hanging="317"/>
      </w:pPr>
      <w:r>
        <w:rPr>
          <w:rFonts w:ascii="Aptos" w:hAnsi="Aptos"/>
          <w:b/>
          <w:color w:val="1F4E79"/>
          <w:sz w:val="21"/>
        </w:rPr>
        <w:t>1. AI-Assisted Issue Classification</w:t>
      </w:r>
    </w:p>
    <w:p>
      <w:pPr>
        <w:pStyle w:val="ItemBody"/>
      </w:pPr>
      <w:r>
        <w:rPr>
          <w:rFonts w:ascii="Aptos" w:hAnsi="Aptos"/>
          <w:b w:val="0"/>
          <w:color w:val="000000"/>
          <w:sz w:val="21"/>
        </w:rPr>
        <w:t>The booking journey begins with a structured understanding of the customer’s problem rather than requiring the customer to know which professional category to search for.</w:t>
      </w:r>
    </w:p>
    <w:p>
      <w:pPr>
        <w:pStyle w:val="ItemHeading"/>
        <w:keepLines/>
        <w:widowControl/>
        <w:spacing w:after="120" w:line="259" w:lineRule="auto" w:before="0"/>
        <w:ind w:left="403" w:hanging="317"/>
      </w:pPr>
      <w:r>
        <w:rPr>
          <w:rFonts w:ascii="Aptos" w:hAnsi="Aptos"/>
          <w:b/>
          <w:color w:val="1F4E79"/>
          <w:sz w:val="21"/>
        </w:rPr>
        <w:t>2. Integrated Selection &amp; Booking</w:t>
      </w:r>
    </w:p>
    <w:p>
      <w:pPr>
        <w:pStyle w:val="ItemBody"/>
      </w:pPr>
      <w:r>
        <w:rPr>
          <w:rFonts w:ascii="Aptos" w:hAnsi="Aptos"/>
          <w:b w:val="0"/>
          <w:color w:val="000000"/>
          <w:sz w:val="21"/>
        </w:rPr>
        <w:t>Ratings and reviews are combined with availability and service-visit price, and the user continues directly into booking and service management rather than ending at provider discovery.</w:t>
      </w:r>
    </w:p>
    <w:p>
      <w:pPr>
        <w:pStyle w:val="ItemHeading"/>
        <w:keepLines/>
        <w:widowControl/>
        <w:spacing w:after="120" w:line="259" w:lineRule="auto" w:before="0"/>
        <w:ind w:left="403" w:hanging="317"/>
      </w:pPr>
      <w:r>
        <w:rPr>
          <w:rFonts w:ascii="Aptos" w:hAnsi="Aptos"/>
          <w:b/>
          <w:color w:val="1F4E79"/>
          <w:sz w:val="21"/>
        </w:rPr>
        <w:t>3. GPS-Based Arrival Estimates &amp; Real-Time Updates</w:t>
      </w:r>
    </w:p>
    <w:p>
      <w:pPr>
        <w:pStyle w:val="ItemBody"/>
      </w:pPr>
      <w:r>
        <w:rPr>
          <w:rFonts w:ascii="Aptos" w:hAnsi="Aptos"/>
          <w:b w:val="0"/>
          <w:color w:val="000000"/>
          <w:sz w:val="21"/>
        </w:rPr>
        <w:t>Customers receive greater visibility after booking, reducing the uncertainty associated with traditional arrival windows.</w:t>
      </w:r>
    </w:p>
    <w:p>
      <w:pPr>
        <w:pStyle w:val="ItemHeading"/>
        <w:keepLines/>
        <w:widowControl/>
        <w:spacing w:after="120" w:line="259" w:lineRule="auto" w:before="0"/>
        <w:ind w:left="403" w:hanging="317"/>
      </w:pPr>
      <w:r>
        <w:rPr>
          <w:rFonts w:ascii="Aptos" w:hAnsi="Aptos"/>
          <w:b/>
          <w:color w:val="1F4E79"/>
          <w:sz w:val="21"/>
        </w:rPr>
        <w:t>4. SOS Service Path</w:t>
      </w:r>
    </w:p>
    <w:p>
      <w:pPr>
        <w:pStyle w:val="ItemBody"/>
      </w:pPr>
      <w:r>
        <w:rPr>
          <w:rFonts w:ascii="Aptos" w:hAnsi="Aptos"/>
          <w:b w:val="0"/>
          <w:color w:val="000000"/>
          <w:sz w:val="21"/>
        </w:rPr>
        <w:t>Urgent requests can be matched with professionals who are currently available for immediate service.</w:t>
      </w:r>
    </w:p>
    <w:p>
      <w:pPr>
        <w:pStyle w:val="ItemHeading"/>
        <w:keepLines/>
        <w:widowControl/>
        <w:spacing w:after="120" w:line="259" w:lineRule="auto" w:before="0"/>
        <w:ind w:left="403" w:hanging="317"/>
      </w:pPr>
      <w:r>
        <w:rPr>
          <w:rFonts w:ascii="Aptos" w:hAnsi="Aptos"/>
          <w:b/>
          <w:color w:val="1F4E79"/>
          <w:sz w:val="21"/>
        </w:rPr>
        <w:t>5. Professional-Side Management Tools</w:t>
      </w:r>
    </w:p>
    <w:p>
      <w:pPr>
        <w:pStyle w:val="ItemBody"/>
      </w:pPr>
      <w:r>
        <w:rPr>
          <w:rFonts w:ascii="Aptos" w:hAnsi="Aptos"/>
          <w:b w:val="0"/>
          <w:color w:val="000000"/>
          <w:sz w:val="21"/>
        </w:rPr>
        <w:t>The platform also supports the supply side through structured requests, scheduling, availability controls, and a centralized dashboard.</w:t>
      </w:r>
    </w:p>
    <w:p>
      <w:pPr>
        <w:pStyle w:val="BodyText"/>
        <w:keepLines/>
        <w:widowControl/>
        <w:spacing w:after="160" w:line="264" w:lineRule="auto" w:before="60"/>
        <w:ind w:left="259" w:right="173"/>
      </w:pPr>
      <w:r>
        <w:rPr>
          <w:rFonts w:ascii="Aptos" w:hAnsi="Aptos"/>
          <w:b/>
          <w:color w:val="000000"/>
          <w:sz w:val="21"/>
        </w:rPr>
        <w:t>The core innovation is therefore not a single feature, but the integration of the full home-service journey into one transparent, two-sided workflow.</w:t>
      </w:r>
    </w:p>
    <w:p>
      <w:pPr>
        <w:pStyle w:val="SectionHeading"/>
        <w:keepNext/>
        <w:pageBreakBefore w:val="0"/>
        <w:spacing w:before="400" w:after="180"/>
      </w:pPr>
      <w:r>
        <w:rPr>
          <w:rFonts w:ascii="Aptos" w:hAnsi="Aptos"/>
          <w:b/>
          <w:color w:val="1F4E79"/>
          <w:sz w:val="32"/>
        </w:rPr>
        <w:t>5. Target Market &amp; Market Potential</w:t>
      </w:r>
    </w:p>
    <w:p>
      <w:pPr>
        <w:pStyle w:val="BodyText"/>
        <w:widowControl/>
        <w:spacing w:after="160" w:line="264" w:lineRule="auto"/>
      </w:pPr>
      <w:r>
        <w:rPr>
          <w:rFonts w:ascii="Aptos" w:hAnsi="Aptos"/>
          <w:color w:val="000000"/>
          <w:sz w:val="21"/>
        </w:rPr>
        <w:t>Pronto’s initial target market is the Israeli home-services sector. The platform is relevant to household repair, maintenance, and urgent-service categories such as plumbing, electrical services, appliance repair and installation, air-conditioning services, and general household maintenance. The initial rollout is designed around a dense urban market where professional coverage and customer demand can be built efficiently.</w:t>
      </w:r>
    </w:p>
    <w:p>
      <w:pPr>
        <w:pStyle w:val="BodyText"/>
        <w:keepNext/>
        <w:widowControl/>
        <w:spacing w:after="140" w:line="264" w:lineRule="auto"/>
      </w:pPr>
      <w:r>
        <w:rPr>
          <w:rFonts w:ascii="Aptos" w:hAnsi="Aptos"/>
          <w:color w:val="000000"/>
          <w:sz w:val="21"/>
        </w:rPr>
        <w:t>The market opportunity is supported by strong projected growth across adjacent global sectors. The figures below use each source’s own forecast period and should be read as global growth indicators rather than Israel-specific market-size estimates.</w:t>
      </w:r>
    </w:p>
    <w:tbl>
      <w:tblPr>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5256"/>
        <w:gridCol w:w="1656"/>
        <w:gridCol w:w="3096"/>
      </w:tblGrid>
      <w:tr>
        <w:trPr>
          <w:cantSplit/>
        </w:trPr>
        <w:tc>
          <w:tcPr>
            <w:tcW w:type="dxa" w:w="4680"/>
            <w:shd w:fill="D9EAF7" w:val="clear"/>
            <w:tcMar>
              <w:top w:w="110" w:type="dxa"/>
              <w:start w:w="110" w:type="dxa"/>
              <w:bottom w:w="110" w:type="dxa"/>
              <w:end w:w="110" w:type="dxa"/>
            </w:tcMar>
            <w:vAlign w:val="center"/>
          </w:tcPr>
          <w:p>
            <w:pPr>
              <w:keepNext/>
              <w:keepLines/>
              <w:spacing w:before="0" w:after="0" w:line="240" w:lineRule="auto"/>
            </w:pPr>
            <w:r>
              <w:rPr>
                <w:rFonts w:ascii="Aptos" w:hAnsi="Aptos"/>
                <w:b/>
                <w:color w:val="1F4E79"/>
                <w:sz w:val="19"/>
              </w:rPr>
              <w:t>Market indicator</w:t>
            </w:r>
          </w:p>
        </w:tc>
        <w:tc>
          <w:tcPr>
            <w:tcW w:type="dxa" w:w="2088"/>
            <w:shd w:fill="D9EAF7" w:val="clear"/>
            <w:tcMar>
              <w:top w:w="110" w:type="dxa"/>
              <w:start w:w="110" w:type="dxa"/>
              <w:bottom w:w="110" w:type="dxa"/>
              <w:end w:w="110" w:type="dxa"/>
            </w:tcMar>
            <w:vAlign w:val="center"/>
          </w:tcPr>
          <w:p>
            <w:pPr>
              <w:keepNext/>
              <w:keepLines/>
              <w:spacing w:before="0" w:after="0" w:line="240" w:lineRule="auto"/>
            </w:pPr>
            <w:r>
              <w:rPr>
                <w:rFonts w:ascii="Aptos" w:hAnsi="Aptos"/>
                <w:b/>
                <w:color w:val="1F4E79"/>
                <w:sz w:val="19"/>
              </w:rPr>
              <w:t>Projected CAGR</w:t>
            </w:r>
          </w:p>
        </w:tc>
        <w:tc>
          <w:tcPr>
            <w:tcW w:type="dxa" w:w="3240"/>
            <w:shd w:fill="D9EAF7" w:val="clear"/>
            <w:tcMar>
              <w:top w:w="110" w:type="dxa"/>
              <w:start w:w="110" w:type="dxa"/>
              <w:bottom w:w="110" w:type="dxa"/>
              <w:end w:w="110" w:type="dxa"/>
            </w:tcMar>
            <w:vAlign w:val="center"/>
          </w:tcPr>
          <w:p>
            <w:pPr>
              <w:keepNext/>
              <w:keepLines/>
              <w:spacing w:before="0" w:after="0" w:line="240" w:lineRule="auto"/>
            </w:pPr>
            <w:r>
              <w:rPr>
                <w:rFonts w:ascii="Aptos" w:hAnsi="Aptos"/>
                <w:b/>
                <w:color w:val="1F4E79"/>
                <w:sz w:val="19"/>
              </w:rPr>
              <w:t>Forecast period / source</w:t>
            </w:r>
          </w:p>
        </w:tc>
      </w:tr>
      <w:tr>
        <w:trPr>
          <w:cantSplit/>
        </w:trPr>
        <w:tc>
          <w:tcPr>
            <w:tcW w:type="dxa" w:w="4680"/>
            <w:shd w:fill="FFFFFF" w:val="clear"/>
            <w:tcMar>
              <w:top w:w="110" w:type="dxa"/>
              <w:start w:w="110" w:type="dxa"/>
              <w:bottom w:w="110" w:type="dxa"/>
              <w:end w:w="110" w:type="dxa"/>
            </w:tcMar>
            <w:vAlign w:val="center"/>
          </w:tcPr>
          <w:p>
            <w:pPr>
              <w:keepNext/>
              <w:keepLines/>
              <w:spacing w:before="0" w:after="0" w:line="240" w:lineRule="auto"/>
            </w:pPr>
            <w:r>
              <w:rPr>
                <w:rFonts w:ascii="Aptos" w:hAnsi="Aptos"/>
                <w:b w:val="0"/>
                <w:color w:val="000000"/>
                <w:sz w:val="19"/>
              </w:rPr>
              <w:t>Global Home Services Market</w:t>
            </w:r>
          </w:p>
        </w:tc>
        <w:tc>
          <w:tcPr>
            <w:tcW w:type="dxa" w:w="2088"/>
            <w:shd w:fill="FFFFFF" w:val="clear"/>
            <w:tcMar>
              <w:top w:w="110" w:type="dxa"/>
              <w:start w:w="110" w:type="dxa"/>
              <w:bottom w:w="110" w:type="dxa"/>
              <w:end w:w="110" w:type="dxa"/>
            </w:tcMar>
            <w:vAlign w:val="center"/>
          </w:tcPr>
          <w:p>
            <w:pPr>
              <w:keepNext/>
              <w:keepLines/>
              <w:spacing w:before="0" w:after="0" w:line="240" w:lineRule="auto"/>
            </w:pPr>
            <w:r>
              <w:rPr>
                <w:rFonts w:ascii="Aptos" w:hAnsi="Aptos"/>
                <w:b w:val="0"/>
                <w:color w:val="000000"/>
                <w:sz w:val="19"/>
              </w:rPr>
              <w:t>11.3%</w:t>
            </w:r>
          </w:p>
        </w:tc>
        <w:tc>
          <w:tcPr>
            <w:tcW w:type="dxa" w:w="3240"/>
            <w:shd w:fill="FFFFFF" w:val="clear"/>
            <w:tcMar>
              <w:top w:w="110" w:type="dxa"/>
              <w:start w:w="110" w:type="dxa"/>
              <w:bottom w:w="110" w:type="dxa"/>
              <w:end w:w="110" w:type="dxa"/>
            </w:tcMar>
            <w:vAlign w:val="center"/>
          </w:tcPr>
          <w:p>
            <w:pPr>
              <w:keepNext/>
              <w:keepLines/>
              <w:spacing w:before="0" w:after="0" w:line="240" w:lineRule="auto"/>
            </w:pPr>
            <w:r>
              <w:rPr>
                <w:rFonts w:ascii="Aptos" w:hAnsi="Aptos"/>
                <w:b w:val="0"/>
                <w:color w:val="000000"/>
                <w:sz w:val="19"/>
              </w:rPr>
              <w:t>2025–2030  [5]</w:t>
            </w:r>
          </w:p>
        </w:tc>
      </w:tr>
      <w:tr>
        <w:trPr>
          <w:cantSplit/>
        </w:trPr>
        <w:tc>
          <w:tcPr>
            <w:tcW w:type="dxa" w:w="4680"/>
            <w:shd w:fill="FFFFFF" w:val="clear"/>
            <w:tcMar>
              <w:top w:w="110" w:type="dxa"/>
              <w:start w:w="110" w:type="dxa"/>
              <w:bottom w:w="110" w:type="dxa"/>
              <w:end w:w="110" w:type="dxa"/>
            </w:tcMar>
            <w:vAlign w:val="center"/>
          </w:tcPr>
          <w:p>
            <w:pPr>
              <w:keepNext/>
              <w:keepLines/>
              <w:spacing w:before="0" w:after="0" w:line="240" w:lineRule="auto"/>
            </w:pPr>
            <w:r>
              <w:rPr>
                <w:rFonts w:ascii="Aptos" w:hAnsi="Aptos"/>
                <w:b w:val="0"/>
                <w:color w:val="000000"/>
                <w:sz w:val="19"/>
              </w:rPr>
              <w:t>Global On-Demand Repair Services Market</w:t>
            </w:r>
          </w:p>
        </w:tc>
        <w:tc>
          <w:tcPr>
            <w:tcW w:type="dxa" w:w="2088"/>
            <w:shd w:fill="FFFFFF" w:val="clear"/>
            <w:tcMar>
              <w:top w:w="110" w:type="dxa"/>
              <w:start w:w="110" w:type="dxa"/>
              <w:bottom w:w="110" w:type="dxa"/>
              <w:end w:w="110" w:type="dxa"/>
            </w:tcMar>
            <w:vAlign w:val="center"/>
          </w:tcPr>
          <w:p>
            <w:pPr>
              <w:keepNext/>
              <w:keepLines/>
              <w:spacing w:before="0" w:after="0" w:line="240" w:lineRule="auto"/>
            </w:pPr>
            <w:r>
              <w:rPr>
                <w:rFonts w:ascii="Aptos" w:hAnsi="Aptos"/>
                <w:b w:val="0"/>
                <w:color w:val="000000"/>
                <w:sz w:val="19"/>
              </w:rPr>
              <w:t>13.8%</w:t>
            </w:r>
          </w:p>
        </w:tc>
        <w:tc>
          <w:tcPr>
            <w:tcW w:type="dxa" w:w="3240"/>
            <w:shd w:fill="FFFFFF" w:val="clear"/>
            <w:tcMar>
              <w:top w:w="110" w:type="dxa"/>
              <w:start w:w="110" w:type="dxa"/>
              <w:bottom w:w="110" w:type="dxa"/>
              <w:end w:w="110" w:type="dxa"/>
            </w:tcMar>
            <w:vAlign w:val="center"/>
          </w:tcPr>
          <w:p>
            <w:pPr>
              <w:keepNext/>
              <w:keepLines/>
              <w:spacing w:before="0" w:after="0" w:line="240" w:lineRule="auto"/>
            </w:pPr>
            <w:r>
              <w:rPr>
                <w:rFonts w:ascii="Aptos" w:hAnsi="Aptos"/>
                <w:b w:val="0"/>
                <w:color w:val="000000"/>
                <w:sz w:val="19"/>
              </w:rPr>
              <w:t>2025–2035  [6]</w:t>
            </w:r>
          </w:p>
        </w:tc>
      </w:tr>
      <w:tr>
        <w:trPr>
          <w:cantSplit/>
        </w:trPr>
        <w:tc>
          <w:tcPr>
            <w:tcW w:type="dxa" w:w="4680"/>
            <w:shd w:fill="FFFFFF" w:val="clear"/>
            <w:tcMar>
              <w:top w:w="110" w:type="dxa"/>
              <w:start w:w="110" w:type="dxa"/>
              <w:bottom w:w="110" w:type="dxa"/>
              <w:end w:w="110" w:type="dxa"/>
            </w:tcMar>
            <w:vAlign w:val="center"/>
          </w:tcPr>
          <w:p>
            <w:pPr>
              <w:keepLines/>
              <w:spacing w:before="0" w:after="0" w:line="240" w:lineRule="auto"/>
            </w:pPr>
            <w:r>
              <w:rPr>
                <w:rFonts w:ascii="Aptos" w:hAnsi="Aptos"/>
                <w:b w:val="0"/>
                <w:color w:val="000000"/>
                <w:sz w:val="19"/>
              </w:rPr>
              <w:t>Global Online On-Demand Home Services Market</w:t>
            </w:r>
          </w:p>
        </w:tc>
        <w:tc>
          <w:tcPr>
            <w:tcW w:type="dxa" w:w="2088"/>
            <w:shd w:fill="FFFFFF" w:val="clear"/>
            <w:tcMar>
              <w:top w:w="110" w:type="dxa"/>
              <w:start w:w="110" w:type="dxa"/>
              <w:bottom w:w="110" w:type="dxa"/>
              <w:end w:w="110" w:type="dxa"/>
            </w:tcMar>
            <w:vAlign w:val="center"/>
          </w:tcPr>
          <w:p>
            <w:pPr>
              <w:keepLines/>
              <w:spacing w:before="0" w:after="0" w:line="240" w:lineRule="auto"/>
            </w:pPr>
            <w:r>
              <w:rPr>
                <w:rFonts w:ascii="Aptos" w:hAnsi="Aptos"/>
                <w:b w:val="0"/>
                <w:color w:val="000000"/>
                <w:sz w:val="19"/>
              </w:rPr>
              <w:t>17.2%*</w:t>
            </w:r>
          </w:p>
        </w:tc>
        <w:tc>
          <w:tcPr>
            <w:tcW w:type="dxa" w:w="3240"/>
            <w:shd w:fill="FFFFFF" w:val="clear"/>
            <w:tcMar>
              <w:top w:w="110" w:type="dxa"/>
              <w:start w:w="110" w:type="dxa"/>
              <w:bottom w:w="110" w:type="dxa"/>
              <w:end w:w="110" w:type="dxa"/>
            </w:tcMar>
            <w:vAlign w:val="center"/>
          </w:tcPr>
          <w:p>
            <w:pPr>
              <w:keepLines/>
              <w:spacing w:before="0" w:after="0" w:line="240" w:lineRule="auto"/>
            </w:pPr>
            <w:r>
              <w:rPr>
                <w:rFonts w:ascii="Aptos" w:hAnsi="Aptos"/>
                <w:b w:val="0"/>
                <w:color w:val="000000"/>
                <w:sz w:val="19"/>
              </w:rPr>
              <w:t>2026–2031  [7]</w:t>
            </w:r>
          </w:p>
        </w:tc>
      </w:tr>
    </w:tbl>
    <w:p>
      <w:pPr>
        <w:pStyle w:val="BodyText"/>
        <w:keepLines/>
        <w:widowControl/>
        <w:spacing w:after="160" w:line="264" w:lineRule="auto" w:before="80"/>
        <w:ind w:left="173"/>
      </w:pPr>
      <w:r>
        <w:rPr>
          <w:rFonts w:ascii="Aptos" w:hAnsi="Aptos"/>
          <w:b w:val="0"/>
          <w:i/>
          <w:color w:val="000000"/>
          <w:sz w:val="19"/>
        </w:rPr>
        <w:t xml:space="preserve">*17.2% is the rounded form of TechSci Research’s reported 17.17% CAGR. </w:t>
      </w:r>
      <w:r>
        <w:rPr>
          <w:rFonts w:ascii="Aptos" w:hAnsi="Aptos"/>
          <w:b w:val="0"/>
          <w:i/>
          <w:color w:val="000000"/>
          <w:sz w:val="19"/>
        </w:rPr>
        <w:t>The particularly strong growth of online and on-demand service models supports the broader shift toward technology-enabled solutions for traditionally offline home services.</w:t>
      </w:r>
    </w:p>
    <w:p>
      <w:pPr>
        <w:pStyle w:val="SectionHeading"/>
        <w:keepNext/>
        <w:spacing w:before="400" w:after="180"/>
      </w:pPr>
      <w:r>
        <w:rPr>
          <w:rFonts w:ascii="Aptos" w:hAnsi="Aptos"/>
          <w:b/>
          <w:color w:val="1F4E79"/>
          <w:sz w:val="32"/>
        </w:rPr>
        <w:t>6. Go-to-Market Strategy</w:t>
      </w:r>
    </w:p>
    <w:p>
      <w:pPr>
        <w:pStyle w:val="BodyText"/>
        <w:widowControl/>
        <w:spacing w:after="160" w:line="264" w:lineRule="auto"/>
      </w:pPr>
      <w:r>
        <w:rPr>
          <w:rFonts w:ascii="Aptos" w:hAnsi="Aptos"/>
          <w:color w:val="000000"/>
          <w:sz w:val="21"/>
        </w:rPr>
        <w:t>Pronto’s go-to-market strategy reflects the two-sided nature of the platform. The initial launch will focus on a limited geographic area, beginning with a pilot in Tel Aviv, so the team can build sufficient professional coverage, attract an initial customer base, validate the service experience, and refine operations before wider expansion.</w:t>
      </w:r>
    </w:p>
    <w:p>
      <w:pPr>
        <w:pStyle w:val="ItemHeading"/>
        <w:keepLines/>
        <w:widowControl/>
        <w:spacing w:after="120" w:line="259" w:lineRule="auto" w:before="0"/>
        <w:ind w:left="403" w:hanging="317"/>
      </w:pPr>
      <w:r>
        <w:rPr>
          <w:rFonts w:ascii="Aptos" w:hAnsi="Aptos"/>
          <w:b/>
          <w:color w:val="1F4E79"/>
          <w:sz w:val="21"/>
        </w:rPr>
        <w:t>1. Customer acquisition</w:t>
      </w:r>
    </w:p>
    <w:p>
      <w:pPr>
        <w:pStyle w:val="ItemBody"/>
      </w:pPr>
      <w:r>
        <w:rPr>
          <w:rFonts w:ascii="Aptos" w:hAnsi="Aptos"/>
          <w:b w:val="0"/>
          <w:color w:val="000000"/>
          <w:sz w:val="21"/>
        </w:rPr>
        <w:t>The initial channels include partnerships with property-management companies, local community groups, social-media campaigns, and targeted campaigns around urgent home-service needs. These channels are intended to reach customers when the need for a professional is immediate and relevant.</w:t>
      </w:r>
    </w:p>
    <w:p>
      <w:pPr>
        <w:pStyle w:val="ItemHeading"/>
        <w:keepLines/>
        <w:widowControl/>
        <w:spacing w:after="120" w:line="259" w:lineRule="auto" w:before="0"/>
        <w:ind w:left="403" w:hanging="317"/>
      </w:pPr>
      <w:r>
        <w:rPr>
          <w:rFonts w:ascii="Aptos" w:hAnsi="Aptos"/>
          <w:b/>
          <w:color w:val="1F4E79"/>
          <w:sz w:val="21"/>
        </w:rPr>
        <w:t>2. Professional acquisition</w:t>
      </w:r>
    </w:p>
    <w:p>
      <w:pPr>
        <w:pStyle w:val="ItemBody"/>
      </w:pPr>
      <w:r>
        <w:rPr>
          <w:rFonts w:ascii="Aptos" w:hAnsi="Aptos"/>
          <w:b w:val="0"/>
          <w:color w:val="000000"/>
          <w:sz w:val="21"/>
        </w:rPr>
        <w:t>The supply side will be built through direct outreach, professional WhatsApp groups, Facebook trade communities, and a referral program. The objective is to create an active and verified professional network with enough geographic and service-category coverage to support customer demand.</w:t>
      </w:r>
    </w:p>
    <w:p>
      <w:pPr>
        <w:pStyle w:val="ItemHeading"/>
        <w:keepLines/>
        <w:widowControl/>
        <w:spacing w:after="120" w:line="259" w:lineRule="auto" w:before="0"/>
        <w:ind w:left="403" w:hanging="317"/>
      </w:pPr>
      <w:r>
        <w:rPr>
          <w:rFonts w:ascii="Aptos" w:hAnsi="Aptos"/>
          <w:b/>
          <w:color w:val="1F4E79"/>
          <w:sz w:val="21"/>
        </w:rPr>
        <w:t>3. Staged expansion</w:t>
      </w:r>
    </w:p>
    <w:p>
      <w:pPr>
        <w:pStyle w:val="ItemBody"/>
      </w:pPr>
      <w:r>
        <w:rPr>
          <w:rFonts w:ascii="Aptos" w:hAnsi="Aptos"/>
          <w:b w:val="0"/>
          <w:color w:val="000000"/>
          <w:sz w:val="21"/>
        </w:rPr>
        <w:t>Following the pilot, Pronto will expand into additional areas as the professional network and customer base grow. Early performance will be evaluated using indicators such as request-to-confirmation rate, professional response time, completed bookings, cancellation rate, and repeat usage.</w:t>
      </w:r>
    </w:p>
    <w:p>
      <w:pPr>
        <w:pStyle w:val="SectionHeading"/>
        <w:keepNext/>
        <w:pageBreakBefore w:val="0"/>
        <w:spacing w:before="400" w:after="180"/>
      </w:pPr>
      <w:r>
        <w:rPr>
          <w:rFonts w:ascii="Aptos" w:hAnsi="Aptos"/>
          <w:b/>
          <w:color w:val="1F4E79"/>
          <w:sz w:val="32"/>
        </w:rPr>
        <w:t>7. Team &amp; Responsibilities</w:t>
      </w:r>
    </w:p>
    <w:p>
      <w:pPr>
        <w:pStyle w:val="BodyText"/>
        <w:widowControl/>
        <w:spacing w:after="160" w:line="264" w:lineRule="auto"/>
      </w:pPr>
      <w:r>
        <w:rPr>
          <w:rFonts w:ascii="Aptos" w:hAnsi="Aptos"/>
          <w:color w:val="000000"/>
          <w:sz w:val="21"/>
        </w:rPr>
        <w:t>Pronto was developed by Yuval Harel and Or Cohen. The project required the design and implementation of a complete end-to-end system, combining frontend development, backend services, database management, cloud deployment, external integrations, and real-time functionality.</w:t>
      </w:r>
    </w:p>
    <w:p>
      <w:pPr>
        <w:pStyle w:val="TeamHeading"/>
        <w:widowControl/>
        <w:spacing w:after="120" w:line="259" w:lineRule="auto" w:before="60"/>
        <w:ind w:left="173"/>
      </w:pPr>
      <w:r>
        <w:rPr>
          <w:rFonts w:ascii="Aptos" w:hAnsi="Aptos"/>
          <w:b/>
          <w:color w:val="1F4E79"/>
          <w:sz w:val="21"/>
        </w:rPr>
        <w:t>Yuval Harel – Frontend &amp; User Experience Development</w:t>
      </w:r>
    </w:p>
    <w:p>
      <w:pPr>
        <w:pStyle w:val="TeamBody"/>
      </w:pPr>
      <w:r>
        <w:rPr>
          <w:rFonts w:ascii="Aptos" w:hAnsi="Aptos"/>
          <w:color w:val="000000"/>
          <w:sz w:val="21"/>
        </w:rPr>
        <w:t>Responsible for the development of the customer and professional web interfaces, implementation of booking and service-management flows, API integration, status updates, scheduling-related screens, and ensuring a consistent responsive user experience across the platform.</w:t>
      </w:r>
    </w:p>
    <w:p>
      <w:pPr>
        <w:pStyle w:val="TeamHeading"/>
        <w:widowControl/>
        <w:spacing w:after="120" w:line="259" w:lineRule="auto" w:before="60"/>
        <w:ind w:left="173"/>
      </w:pPr>
      <w:r>
        <w:rPr>
          <w:rFonts w:ascii="Aptos" w:hAnsi="Aptos"/>
          <w:b/>
          <w:color w:val="1F4E79"/>
          <w:sz w:val="21"/>
        </w:rPr>
        <w:t>Or Cohen – Backend &amp; System Architecture Development</w:t>
      </w:r>
    </w:p>
    <w:p>
      <w:pPr>
        <w:pStyle w:val="TeamBody"/>
      </w:pPr>
      <w:r>
        <w:rPr>
          <w:rFonts w:ascii="Aptos" w:hAnsi="Aptos"/>
          <w:color w:val="000000"/>
          <w:sz w:val="21"/>
        </w:rPr>
        <w:t>Responsible for server-side development, database design and management, API implementation, scheduling and booking logic, real-time system functionality, and the architecture connecting the platform’s backend services and external integrations.</w:t>
      </w:r>
    </w:p>
    <w:p>
      <w:pPr>
        <w:pStyle w:val="BodyText"/>
        <w:widowControl/>
        <w:spacing w:after="160" w:line="264" w:lineRule="auto"/>
      </w:pPr>
      <w:r>
        <w:rPr>
          <w:rFonts w:ascii="Aptos" w:hAnsi="Aptos"/>
          <w:color w:val="000000"/>
          <w:sz w:val="21"/>
        </w:rPr>
        <w:t>The work was carried out collaboratively, with both team members involved in system design, integration, testing, debugging, and product-level decisions throughout the development process.</w:t>
      </w:r>
    </w:p>
    <w:p>
      <w:pPr>
        <w:pStyle w:val="SectionHeading"/>
        <w:keepNext/>
        <w:pageBreakBefore/>
        <w:spacing w:before="0" w:after="180"/>
      </w:pPr>
      <w:r>
        <w:rPr>
          <w:rFonts w:ascii="Aptos" w:hAnsi="Aptos"/>
          <w:b/>
          <w:color w:val="1F4E79"/>
          <w:sz w:val="32"/>
        </w:rPr>
        <w:t>References &amp; Supporting Sources</w:t>
      </w:r>
    </w:p>
    <w:p>
      <w:pPr>
        <w:pStyle w:val="BodyText"/>
        <w:widowControl/>
        <w:spacing w:after="160" w:line="264" w:lineRule="auto"/>
      </w:pPr>
      <w:r>
        <w:rPr>
          <w:rFonts w:ascii="Aptos" w:hAnsi="Aptos"/>
          <w:b/>
          <w:color w:val="000000"/>
          <w:sz w:val="21"/>
        </w:rPr>
        <w:t>Primary research</w:t>
      </w:r>
      <w:r>
        <w:rPr>
          <w:rFonts w:ascii="Aptos" w:hAnsi="Aptos"/>
          <w:color w:val="000000"/>
          <w:sz w:val="21"/>
        </w:rPr>
        <w:t xml:space="preserve"> and external sources used for quantitative validation and market-growth figures are listed below. Product features, competitive positioning, and go-to-market details are based on the project’s own materials and current implementation.</w:t>
      </w:r>
    </w:p>
    <w:p>
      <w:pPr>
        <w:pStyle w:val="Reference"/>
        <w:spacing w:after="100" w:line="254" w:lineRule="auto"/>
        <w:ind w:left="317" w:hanging="317"/>
      </w:pPr>
      <w:r>
        <w:rPr>
          <w:rFonts w:ascii="Aptos" w:hAnsi="Aptos"/>
          <w:b/>
          <w:color w:val="000000"/>
          <w:sz w:val="18"/>
        </w:rPr>
        <w:t xml:space="preserve">[1] </w:t>
      </w:r>
      <w:r>
        <w:rPr>
          <w:rFonts w:ascii="Aptos" w:hAnsi="Aptos"/>
          <w:b/>
          <w:color w:val="000000"/>
          <w:sz w:val="18"/>
        </w:rPr>
        <w:t>Pronto Customer Survey and Qualitative Interviews</w:t>
      </w:r>
      <w:r>
        <w:rPr>
          <w:rFonts w:ascii="Aptos" w:hAnsi="Aptos"/>
          <w:color w:val="000000"/>
          <w:sz w:val="18"/>
        </w:rPr>
        <w:t>. Primary research conducted by the project team, 2026</w:t>
      </w:r>
      <w:r>
        <w:rPr>
          <w:rFonts w:ascii="Aptos" w:hAnsi="Aptos"/>
          <w:color w:val="000000"/>
          <w:sz w:val="18"/>
        </w:rPr>
        <w:t>. Customer survey: 65 respondents; supporting customer and professional interviews.</w:t>
      </w:r>
    </w:p>
    <w:p>
      <w:pPr>
        <w:pStyle w:val="Reference"/>
        <w:spacing w:after="100" w:line="254" w:lineRule="auto"/>
        <w:ind w:left="317" w:hanging="317"/>
      </w:pPr>
      <w:r>
        <w:rPr>
          <w:rFonts w:ascii="Aptos" w:hAnsi="Aptos"/>
          <w:b/>
          <w:color w:val="000000"/>
          <w:sz w:val="18"/>
        </w:rPr>
        <w:t xml:space="preserve">[2] </w:t>
      </w:r>
      <w:r>
        <w:rPr>
          <w:rFonts w:ascii="Aptos" w:hAnsi="Aptos"/>
          <w:b/>
          <w:color w:val="000000"/>
          <w:sz w:val="18"/>
        </w:rPr>
        <w:t>2024 State of Home Spending Report</w:t>
      </w:r>
      <w:r>
        <w:rPr>
          <w:rFonts w:ascii="Aptos" w:hAnsi="Aptos"/>
          <w:color w:val="000000"/>
          <w:sz w:val="18"/>
        </w:rPr>
        <w:t>. Angi</w:t>
      </w:r>
      <w:r>
        <w:rPr>
          <w:rFonts w:ascii="Aptos" w:hAnsi="Aptos"/>
          <w:color w:val="000000"/>
          <w:sz w:val="18"/>
        </w:rPr>
        <w:t>. 43% reported increased stress related to home repairs and maintenance; 54% struggled to find skilled professionals.</w:t>
      </w:r>
      <w:r>
        <w:rPr>
          <w:rFonts w:ascii="Aptos" w:hAnsi="Aptos"/>
          <w:color w:val="000000"/>
          <w:sz w:val="18"/>
        </w:rPr>
        <w:t xml:space="preserve"> </w:t>
      </w:r>
      <w:hyperlink r:id="rId11">
        <w:r>
          <w:rPr>
            <w:color w:val="000000"/>
            <w:u w:val="single"/>
          </w:rPr>
          <w:t>Source link</w:t>
        </w:r>
      </w:hyperlink>
    </w:p>
    <w:p>
      <w:pPr>
        <w:pStyle w:val="Reference"/>
        <w:spacing w:after="100" w:line="254" w:lineRule="auto"/>
        <w:ind w:left="317" w:hanging="317"/>
      </w:pPr>
      <w:r>
        <w:rPr>
          <w:rFonts w:ascii="Aptos" w:hAnsi="Aptos"/>
          <w:b/>
          <w:color w:val="000000"/>
          <w:sz w:val="18"/>
        </w:rPr>
        <w:t xml:space="preserve">[3] </w:t>
      </w:r>
      <w:r>
        <w:rPr>
          <w:rFonts w:ascii="Aptos" w:hAnsi="Aptos"/>
          <w:b/>
          <w:color w:val="000000"/>
          <w:sz w:val="18"/>
        </w:rPr>
        <w:t>Where Home Services Businesses Are Spending (and What’s Actually Paying Off)</w:t>
      </w:r>
      <w:r>
        <w:rPr>
          <w:rFonts w:ascii="Aptos" w:hAnsi="Aptos"/>
          <w:color w:val="000000"/>
          <w:sz w:val="18"/>
        </w:rPr>
        <w:t>. Scorpion</w:t>
      </w:r>
      <w:r>
        <w:rPr>
          <w:rFonts w:ascii="Aptos" w:hAnsi="Aptos"/>
          <w:color w:val="000000"/>
          <w:sz w:val="18"/>
        </w:rPr>
        <w:t>. Survey of nearly 1,000 home-services professionals; 75% reported investing in digital advertising.</w:t>
      </w:r>
      <w:r>
        <w:rPr>
          <w:rFonts w:ascii="Aptos" w:hAnsi="Aptos"/>
          <w:color w:val="000000"/>
          <w:sz w:val="18"/>
        </w:rPr>
        <w:t xml:space="preserve"> </w:t>
      </w:r>
      <w:hyperlink r:id="rId12">
        <w:r>
          <w:rPr>
            <w:color w:val="000000"/>
            <w:u w:val="single"/>
          </w:rPr>
          <w:t>Source link</w:t>
        </w:r>
      </w:hyperlink>
    </w:p>
    <w:p>
      <w:pPr>
        <w:pStyle w:val="Reference"/>
        <w:spacing w:after="100" w:line="254" w:lineRule="auto"/>
        <w:ind w:left="317" w:hanging="317"/>
      </w:pPr>
      <w:r>
        <w:rPr>
          <w:rFonts w:ascii="Aptos" w:hAnsi="Aptos"/>
          <w:b/>
          <w:color w:val="000000"/>
          <w:sz w:val="18"/>
        </w:rPr>
        <w:t xml:space="preserve">[4] </w:t>
      </w:r>
      <w:r>
        <w:rPr>
          <w:rFonts w:ascii="Aptos" w:hAnsi="Aptos"/>
          <w:b/>
          <w:color w:val="000000"/>
          <w:sz w:val="18"/>
        </w:rPr>
        <w:t>Position Paper on Amendment 55 to the Consumer Protection Law (“Technicians Law”)</w:t>
      </w:r>
      <w:r>
        <w:rPr>
          <w:rFonts w:ascii="Aptos" w:hAnsi="Aptos"/>
          <w:color w:val="000000"/>
          <w:sz w:val="18"/>
        </w:rPr>
        <w:t>. Israel Consumer Protection and Fair Trade Authority</w:t>
      </w:r>
      <w:r>
        <w:rPr>
          <w:rFonts w:ascii="Aptos" w:hAnsi="Aptos"/>
          <w:color w:val="000000"/>
          <w:sz w:val="18"/>
        </w:rPr>
        <w:t>. Explains waiting-time requirements and compensation of up to ₪600 for qualifying delays.</w:t>
      </w:r>
      <w:r>
        <w:rPr>
          <w:rFonts w:ascii="Aptos" w:hAnsi="Aptos"/>
          <w:color w:val="000000"/>
          <w:sz w:val="18"/>
        </w:rPr>
        <w:t xml:space="preserve"> </w:t>
      </w:r>
      <w:hyperlink r:id="rId13">
        <w:r>
          <w:rPr>
            <w:color w:val="000000"/>
            <w:u w:val="single"/>
          </w:rPr>
          <w:t>Source link</w:t>
        </w:r>
      </w:hyperlink>
    </w:p>
    <w:p>
      <w:pPr>
        <w:pStyle w:val="Reference"/>
        <w:spacing w:after="100" w:line="254" w:lineRule="auto"/>
        <w:ind w:left="317" w:hanging="317"/>
      </w:pPr>
      <w:r>
        <w:rPr>
          <w:rFonts w:ascii="Aptos" w:hAnsi="Aptos"/>
          <w:b/>
          <w:color w:val="000000"/>
          <w:sz w:val="18"/>
        </w:rPr>
        <w:t xml:space="preserve">[5] </w:t>
      </w:r>
      <w:r>
        <w:rPr>
          <w:rFonts w:ascii="Aptos" w:hAnsi="Aptos"/>
          <w:b/>
          <w:color w:val="000000"/>
          <w:sz w:val="18"/>
        </w:rPr>
        <w:t>Home Services Market Growth Analysis – Size and Forecast 2026–2030</w:t>
      </w:r>
      <w:r>
        <w:rPr>
          <w:rFonts w:ascii="Aptos" w:hAnsi="Aptos"/>
          <w:color w:val="000000"/>
          <w:sz w:val="18"/>
        </w:rPr>
        <w:t>. Technavio</w:t>
      </w:r>
      <w:r>
        <w:rPr>
          <w:rFonts w:ascii="Aptos" w:hAnsi="Aptos"/>
          <w:color w:val="000000"/>
          <w:sz w:val="18"/>
        </w:rPr>
        <w:t>. Reported CAGR: 11.3% for 2025–2030.</w:t>
      </w:r>
      <w:r>
        <w:rPr>
          <w:rFonts w:ascii="Aptos" w:hAnsi="Aptos"/>
          <w:color w:val="000000"/>
          <w:sz w:val="18"/>
        </w:rPr>
        <w:t xml:space="preserve"> </w:t>
      </w:r>
      <w:hyperlink r:id="rId14">
        <w:r>
          <w:rPr>
            <w:color w:val="000000"/>
            <w:u w:val="single"/>
          </w:rPr>
          <w:t>Source link</w:t>
        </w:r>
      </w:hyperlink>
    </w:p>
    <w:p>
      <w:pPr>
        <w:pStyle w:val="Reference"/>
        <w:spacing w:after="100" w:line="254" w:lineRule="auto"/>
        <w:ind w:left="317" w:hanging="317"/>
      </w:pPr>
      <w:r>
        <w:rPr>
          <w:rFonts w:ascii="Aptos" w:hAnsi="Aptos"/>
          <w:b/>
          <w:color w:val="000000"/>
          <w:sz w:val="18"/>
        </w:rPr>
        <w:t xml:space="preserve">[6] </w:t>
      </w:r>
      <w:r>
        <w:rPr>
          <w:rFonts w:ascii="Aptos" w:hAnsi="Aptos"/>
          <w:b/>
          <w:color w:val="000000"/>
          <w:sz w:val="18"/>
        </w:rPr>
        <w:t>On-Demand Repair Services Market</w:t>
      </w:r>
      <w:r>
        <w:rPr>
          <w:rFonts w:ascii="Aptos" w:hAnsi="Aptos"/>
          <w:color w:val="000000"/>
          <w:sz w:val="18"/>
        </w:rPr>
        <w:t>. Future Market Insights</w:t>
      </w:r>
      <w:r>
        <w:rPr>
          <w:rFonts w:ascii="Aptos" w:hAnsi="Aptos"/>
          <w:color w:val="000000"/>
          <w:sz w:val="18"/>
        </w:rPr>
        <w:t>. Reported CAGR: 13.8% for 2025–2035.</w:t>
      </w:r>
      <w:r>
        <w:rPr>
          <w:rFonts w:ascii="Aptos" w:hAnsi="Aptos"/>
          <w:color w:val="000000"/>
          <w:sz w:val="18"/>
        </w:rPr>
        <w:t xml:space="preserve"> </w:t>
      </w:r>
      <w:hyperlink r:id="rId15">
        <w:r>
          <w:rPr>
            <w:color w:val="000000"/>
            <w:u w:val="single"/>
          </w:rPr>
          <w:t>Source link</w:t>
        </w:r>
      </w:hyperlink>
    </w:p>
    <w:p>
      <w:pPr>
        <w:pStyle w:val="Reference"/>
        <w:spacing w:after="100" w:line="254" w:lineRule="auto"/>
        <w:ind w:left="317" w:hanging="317"/>
      </w:pPr>
      <w:r>
        <w:rPr>
          <w:rFonts w:ascii="Aptos" w:hAnsi="Aptos"/>
          <w:b/>
          <w:color w:val="000000"/>
          <w:sz w:val="18"/>
        </w:rPr>
        <w:t xml:space="preserve">[7] </w:t>
      </w:r>
      <w:r>
        <w:rPr>
          <w:rFonts w:ascii="Aptos" w:hAnsi="Aptos"/>
          <w:b/>
          <w:color w:val="000000"/>
          <w:sz w:val="18"/>
        </w:rPr>
        <w:t>Online On-Demand Home Services Market – Global Industry Forecast to 2031</w:t>
      </w:r>
      <w:r>
        <w:rPr>
          <w:rFonts w:ascii="Aptos" w:hAnsi="Aptos"/>
          <w:color w:val="000000"/>
          <w:sz w:val="18"/>
        </w:rPr>
        <w:t>. TechSci Research</w:t>
      </w:r>
      <w:r>
        <w:rPr>
          <w:rFonts w:ascii="Aptos" w:hAnsi="Aptos"/>
          <w:color w:val="000000"/>
          <w:sz w:val="18"/>
        </w:rPr>
        <w:t>. Reported CAGR: 17.17% for 2026–2031.</w:t>
      </w:r>
      <w:r>
        <w:rPr>
          <w:rFonts w:ascii="Aptos" w:hAnsi="Aptos"/>
          <w:color w:val="000000"/>
          <w:sz w:val="18"/>
        </w:rPr>
        <w:t xml:space="preserve"> </w:t>
      </w:r>
      <w:hyperlink r:id="rId16">
        <w:r>
          <w:rPr>
            <w:color w:val="000000"/>
            <w:u w:val="single"/>
          </w:rPr>
          <w:t>Source link</w:t>
        </w:r>
      </w:hyperlink>
    </w:p>
    <w:sectPr w:rsidR="00FC693F" w:rsidRPr="0006063C" w:rsidSect="00034616">
      <w:headerReference w:type="default" r:id="rId9"/>
      <w:footerReference w:type="default" r:id="rId10"/>
      <w:pgSz w:w="12240" w:h="15840"/>
      <w:pgMar w:top="1037" w:right="1152" w:bottom="950" w:left="1152" w:header="36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ptos" w:hAnsi="Aptos"/>
        <w:color w:val="00000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before="0" w:line="259" w:lineRule="auto"/>
    </w:pPr>
    <w:rPr>
      <w:rFonts w:ascii="Aptos" w:hAnsi="Aptos"/>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Pronto">
    <w:name w:val="Title Pronto"/>
    <w:pPr>
      <w:spacing w:before="160" w:after="80" w:line="240" w:lineRule="auto"/>
    </w:pPr>
    <w:rPr>
      <w:rFonts w:ascii="Aptos" w:hAnsi="Aptos"/>
      <w:b/>
      <w:color w:val="000000"/>
      <w:sz w:val="50"/>
    </w:rPr>
  </w:style>
  <w:style w:type="paragraph" w:customStyle="1" w:styleId="SubtitlePronto">
    <w:name w:val="Subtitle Pronto"/>
    <w:pPr>
      <w:spacing w:before="0" w:after="400" w:line="240" w:lineRule="auto"/>
    </w:pPr>
    <w:rPr>
      <w:rFonts w:ascii="Aptos" w:hAnsi="Aptos"/>
      <w:b w:val="0"/>
      <w:color w:val="000000"/>
      <w:sz w:val="21"/>
    </w:rPr>
  </w:style>
  <w:style w:type="paragraph" w:customStyle="1" w:styleId="SectionHeading">
    <w:name w:val="Section Heading"/>
    <w:pPr>
      <w:spacing w:before="360" w:after="160" w:line="240" w:lineRule="auto"/>
    </w:pPr>
    <w:rPr>
      <w:rFonts w:ascii="Aptos" w:hAnsi="Aptos"/>
      <w:b/>
      <w:color w:val="1F4E79"/>
      <w:sz w:val="32"/>
    </w:rPr>
  </w:style>
  <w:style w:type="paragraph" w:customStyle="1" w:styleId="Subheading">
    <w:name w:val="Subheading"/>
    <w:pPr>
      <w:spacing w:before="180" w:after="80" w:line="240" w:lineRule="auto"/>
    </w:pPr>
    <w:rPr>
      <w:rFonts w:ascii="Aptos" w:hAnsi="Aptos"/>
      <w:b/>
      <w:color w:val="1F4E79"/>
      <w:sz w:val="24"/>
    </w:rPr>
  </w:style>
  <w:style w:type="paragraph" w:customStyle="1" w:styleId="BodyBullet">
    <w:name w:val="Body Bullet"/>
    <w:pPr>
      <w:spacing w:before="0" w:after="40" w:line="252" w:lineRule="auto"/>
      <w:ind w:left="259" w:hanging="173"/>
    </w:pPr>
    <w:rPr>
      <w:rFonts w:ascii="Aptos" w:hAnsi="Aptos"/>
      <w:b w:val="0"/>
      <w:color w:val="000000"/>
      <w:sz w:val="20"/>
    </w:rPr>
  </w:style>
  <w:style w:type="paragraph" w:customStyle="1" w:styleId="Reference">
    <w:name w:val="Reference"/>
    <w:pPr>
      <w:spacing w:before="0" w:after="100" w:line="252" w:lineRule="auto"/>
      <w:ind w:left="288" w:hanging="288"/>
    </w:pPr>
    <w:rPr>
      <w:rFonts w:ascii="Aptos" w:hAnsi="Aptos"/>
      <w:b w:val="0"/>
      <w:color w:val="000000"/>
      <w:sz w:val="19"/>
    </w:rPr>
  </w:style>
  <w:style w:type="paragraph" w:customStyle="1" w:styleId="ItemHeading">
    <w:name w:val="Item Heading"/>
    <w:pPr>
      <w:keepNext/>
      <w:spacing w:before="80" w:after="40" w:line="240" w:lineRule="auto"/>
      <w:ind w:left="360" w:hanging="259"/>
    </w:pPr>
    <w:rPr>
      <w:rFonts w:ascii="Aptos" w:hAnsi="Aptos"/>
      <w:b/>
      <w:color w:val="1F4E79"/>
      <w:sz w:val="23"/>
    </w:rPr>
  </w:style>
  <w:style w:type="paragraph" w:customStyle="1" w:styleId="ItemBody">
    <w:name w:val="Item Body"/>
    <w:pPr>
      <w:keepLines/>
      <w:spacing w:before="0" w:after="160" w:line="259" w:lineRule="auto"/>
      <w:ind w:left="619" w:right="72"/>
    </w:pPr>
    <w:rPr>
      <w:rFonts w:ascii="Aptos" w:hAnsi="Aptos"/>
      <w:b w:val="0"/>
      <w:color w:val="000000"/>
      <w:sz w:val="21"/>
    </w:rPr>
  </w:style>
  <w:style w:type="paragraph" w:customStyle="1" w:styleId="TeamHeading">
    <w:name w:val="Team Heading"/>
    <w:pPr>
      <w:keepNext/>
      <w:spacing w:before="120" w:after="40"/>
      <w:ind w:left="144"/>
    </w:pPr>
    <w:rPr>
      <w:rFonts w:ascii="Aptos" w:hAnsi="Aptos"/>
      <w:b/>
      <w:color w:val="1F4E79"/>
      <w:sz w:val="23"/>
    </w:rPr>
  </w:style>
  <w:style w:type="paragraph" w:customStyle="1" w:styleId="TeamBody">
    <w:name w:val="Team Body"/>
    <w:pPr>
      <w:spacing w:before="0" w:after="160" w:line="259" w:lineRule="auto"/>
      <w:ind w:left="317"/>
    </w:pPr>
    <w:rPr>
      <w:rFonts w:ascii="Aptos" w:hAnsi="Aptos"/>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ngi.com/press/2024-state-of-home-spending-report" TargetMode="External"/><Relationship Id="rId12" Type="http://schemas.openxmlformats.org/officeDocument/2006/relationships/hyperlink" Target="https://www.scorpion.co/home-services/insights/blog/verticals/home-services/where-home-services-businesses-are-spending-and-/" TargetMode="External"/><Relationship Id="rId13" Type="http://schemas.openxmlformats.org/officeDocument/2006/relationships/hyperlink" Target="https://www.gov.il/BlobFolder/dynamiccollectorresultitem/cpfta_misc1/he/docs_hanhaiut_memone_%D7%92%D7%99%D7%9C%D7%95%D7%99%20%D7%93%D7%A2%D7%AA%20%D7%AA%D7%99%D7%A7%D7%95%D7%9F%2055%20%D7%9C%D7%97%D7%95%D7%A7%20%D7%94%D7%92%D7%A0%D7%AA%20%D7%94%D7%A6%D7%A8%D7%9B%D7%9F%20%D7%A1%D7%95%D7%A4%D7%99.pdf" TargetMode="External"/><Relationship Id="rId14" Type="http://schemas.openxmlformats.org/officeDocument/2006/relationships/hyperlink" Target="https://www.technavio.com/report/home-services-market-industry-analysis" TargetMode="External"/><Relationship Id="rId15" Type="http://schemas.openxmlformats.org/officeDocument/2006/relationships/hyperlink" Target="https://www.futuremarketinsights.com/reports/on-demand-repair-services-market" TargetMode="External"/><Relationship Id="rId16" Type="http://schemas.openxmlformats.org/officeDocument/2006/relationships/hyperlink" Target="https://www.techsciresearch.com/report/online-on-demand-home-services-market/1540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Pronto – Executive Summary</dc:title>
  <dc:subject>Capstone Project Executive Summary</dc:subject>
  <dc:creator>Yuval Harel and Or Cohen</dc:creator>
  <cp:keywords>Pronto, Executive Summary, Home Services, Computer Science Project</cp:keywords>
  <dc:description>generated by python-docx</dc:description>
  <cp:lastModifiedBy/>
  <cp:revision>1</cp:revision>
  <dcterms:created xsi:type="dcterms:W3CDTF">2013-12-23T23:15:00Z</dcterms:created>
  <dcterms:modified xsi:type="dcterms:W3CDTF">2013-12-23T23:15:00Z</dcterms:modified>
  <cp:category/>
</cp:coreProperties>
</file>