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 the History of Print</w:t>
      </w:r>
    </w:p>
    <w:p>
      <w:pPr>
        <w:pStyle w:val="Author"/>
      </w:pPr>
      <w:r>
        <w:t>Some Author</w:t>
      </w:r>
    </w:p>
    <w:p>
      <w:pPr>
        <w:pStyle w:val="Heading2"/>
      </w:pPr>
      <w:r>
        <w:t>Chapter 1: Gutenberg's Workshop</w:t>
      </w:r>
    </w:p>
    <w:p>
      <w:r>
        <w:t>Johannes Gutenberg's invention transformed Europe.</w:t>
      </w:r>
    </w:p>
    <w:p>
      <w:r>
        <w:t>The Gutenberg Bible remains a landmark of typography.</w:t>
      </w:r>
    </w:p>
    <w:p>
      <w:pPr>
        <w:pStyle w:val="Heading2"/>
      </w:pPr>
      <w:r>
        <w:t>Chapter 2: The License Question</w:t>
      </w:r>
    </w:p>
    <w:p>
      <w:r>
        <w:t>Authorial license is a complex topic, distinct from copyright license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