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proofrail-bronze-profile-draft-v0.1"/>
    <w:p>
      <w:pPr>
        <w:pStyle w:val="Heading1"/>
      </w:pPr>
      <w:r>
        <w:t xml:space="preserve">ProofRail™ Bronze Profile Draft v0.1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Working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v0.1</w:t>
      </w:r>
      <w:r>
        <w:br/>
      </w:r>
      <w:r>
        <w:rPr>
          <w:b/>
          <w:bCs/>
        </w:rPr>
        <w:t xml:space="preserve">Baseline:</w:t>
      </w:r>
      <w:r>
        <w:t xml:space="preserve"> </w:t>
      </w:r>
      <w:r>
        <w:t xml:space="preserve">ProofRail™ Iron-plus v1.0.2-final</w:t>
      </w:r>
      <w:r>
        <w:br/>
      </w:r>
      <w:r>
        <w:rPr>
          <w:b/>
          <w:bCs/>
        </w:rPr>
        <w:t xml:space="preserve">Reference baseline profile:</w:t>
      </w:r>
      <w:r>
        <w:t xml:space="preserve"> </w:t>
      </w:r>
      <w:r>
        <w:t xml:space="preserve">Iron-plus v0.1.5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ProofRail™ Bronze Strategy Note v0.4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Define the minimum profile requirements for ProofRail Bronze, including Native Bronze Preview and Composed Bronze deployment patterns.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ProofRail Bronze is a local-enterprise conformance profile for agent actuation control.</w:t>
      </w:r>
    </w:p>
    <w:p>
      <w:pPr>
        <w:pStyle w:val="BodyText"/>
      </w:pPr>
      <w:r>
        <w:t xml:space="preserve">A Bronze claim states that, within a declared enterprise deployment, protected agent actuation is:</w:t>
      </w:r>
    </w:p>
    <w:p>
      <w:pPr>
        <w:pStyle w:val="Compact"/>
        <w:numPr>
          <w:ilvl w:val="0"/>
          <w:numId w:val="1001"/>
        </w:numPr>
      </w:pPr>
      <w:r>
        <w:t xml:space="preserve">declared;</w:t>
      </w:r>
    </w:p>
    <w:p>
      <w:pPr>
        <w:pStyle w:val="Compact"/>
        <w:numPr>
          <w:ilvl w:val="0"/>
          <w:numId w:val="1001"/>
        </w:numPr>
      </w:pPr>
      <w:r>
        <w:t xml:space="preserve">mediated;</w:t>
      </w:r>
    </w:p>
    <w:p>
      <w:pPr>
        <w:pStyle w:val="Compact"/>
        <w:numPr>
          <w:ilvl w:val="0"/>
          <w:numId w:val="1001"/>
        </w:numPr>
      </w:pPr>
      <w:r>
        <w:t xml:space="preserve">rate-limited or circuit-breaker constrained;</w:t>
      </w:r>
    </w:p>
    <w:p>
      <w:pPr>
        <w:pStyle w:val="Compact"/>
        <w:numPr>
          <w:ilvl w:val="0"/>
          <w:numId w:val="1001"/>
        </w:numPr>
      </w:pPr>
      <w:r>
        <w:t xml:space="preserve">stoppable;</w:t>
      </w:r>
    </w:p>
    <w:p>
      <w:pPr>
        <w:pStyle w:val="Compact"/>
        <w:numPr>
          <w:ilvl w:val="0"/>
          <w:numId w:val="1001"/>
        </w:numPr>
      </w:pPr>
      <w:r>
        <w:t xml:space="preserve">bypass-tested;</w:t>
      </w:r>
    </w:p>
    <w:p>
      <w:pPr>
        <w:pStyle w:val="Compact"/>
        <w:numPr>
          <w:ilvl w:val="0"/>
          <w:numId w:val="1001"/>
        </w:numPr>
      </w:pPr>
      <w:r>
        <w:t xml:space="preserve">audited;</w:t>
      </w:r>
    </w:p>
    <w:p>
      <w:pPr>
        <w:pStyle w:val="Compact"/>
        <w:numPr>
          <w:ilvl w:val="0"/>
          <w:numId w:val="1001"/>
        </w:numPr>
      </w:pPr>
      <w:r>
        <w:t xml:space="preserve">performance-measured;</w:t>
      </w:r>
    </w:p>
    <w:p>
      <w:pPr>
        <w:pStyle w:val="Compact"/>
        <w:numPr>
          <w:ilvl w:val="0"/>
          <w:numId w:val="1001"/>
        </w:numPr>
      </w:pPr>
      <w:r>
        <w:t xml:space="preserve">owned by named operational roles.</w:t>
      </w:r>
    </w:p>
    <w:p>
      <w:pPr>
        <w:pStyle w:val="FirstParagraph"/>
      </w:pPr>
      <w:r>
        <w:t xml:space="preserve">Bronze does not require every enforcement component to be supplied by ProofRail. It requires that the deployed stack can support a defensible ProofRail Bronze claim.</w:t>
      </w:r>
    </w:p>
    <w:p>
      <w:pPr>
        <w:pStyle w:val="BodyText"/>
      </w:pPr>
      <w:r>
        <w:t xml:space="preserve">ProofRail Bronze has two recognized implementation paths: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 Bronze Preview</w:t>
      </w:r>
      <w:r>
        <w:t xml:space="preserve"> </w:t>
      </w:r>
      <w:r>
        <w:t xml:space="preserve">— a ProofRail-native implementation path extending the Iron-plus reference implementation.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Composed Bronze</w:t>
      </w:r>
      <w:r>
        <w:t xml:space="preserve"> </w:t>
      </w:r>
      <w:r>
        <w:t xml:space="preserve">— a vendor-neutral enterprise stack in which existing gateways, identity providers, observability systems, and log/SIEM tools support the ProofRail Bronze claim.</w:t>
      </w:r>
    </w:p>
    <w:p>
      <w:pPr>
        <w:pStyle w:val="FirstParagraph"/>
      </w:pPr>
      <w:r>
        <w:t xml:space="preserve">Both paths share the same Bronze evidence model and claim requirements.</w:t>
      </w:r>
    </w:p>
    <w:p>
      <w:r>
        <w:pict>
          <v:rect style="width:0;height:1.5pt" o:hralign="center" o:hrstd="t" o:hr="t"/>
        </w:pict>
      </w:r>
    </w:p>
    <w:bookmarkEnd w:id="20"/>
    <w:bookmarkStart w:id="23" w:name="scope"/>
    <w:p>
      <w:pPr>
        <w:pStyle w:val="Heading2"/>
      </w:pPr>
      <w:r>
        <w:t xml:space="preserve">2. Scope</w:t>
      </w:r>
    </w:p>
    <w:bookmarkStart w:id="21" w:name="in-scope"/>
    <w:p>
      <w:pPr>
        <w:pStyle w:val="Heading3"/>
      </w:pPr>
      <w:r>
        <w:t xml:space="preserve">2.1 In Scope</w:t>
      </w:r>
    </w:p>
    <w:p>
      <w:pPr>
        <w:pStyle w:val="FirstParagraph"/>
      </w:pPr>
      <w:r>
        <w:t xml:space="preserve">Bronze covers local-enterprise agent actuation control across declared surfaces.</w:t>
      </w:r>
    </w:p>
    <w:p>
      <w:pPr>
        <w:pStyle w:val="BodyText"/>
      </w:pPr>
      <w:r>
        <w:t xml:space="preserve">In-scope surfaces may include:</w:t>
      </w:r>
    </w:p>
    <w:p>
      <w:pPr>
        <w:pStyle w:val="Compact"/>
        <w:numPr>
          <w:ilvl w:val="0"/>
          <w:numId w:val="1003"/>
        </w:numPr>
      </w:pPr>
      <w:r>
        <w:t xml:space="preserve">MCP tool calls;</w:t>
      </w:r>
    </w:p>
    <w:p>
      <w:pPr>
        <w:pStyle w:val="Compact"/>
        <w:numPr>
          <w:ilvl w:val="0"/>
          <w:numId w:val="1003"/>
        </w:numPr>
      </w:pPr>
      <w:r>
        <w:t xml:space="preserve">agent-to-tool gateway traffic;</w:t>
      </w:r>
    </w:p>
    <w:p>
      <w:pPr>
        <w:pStyle w:val="Compact"/>
        <w:numPr>
          <w:ilvl w:val="0"/>
          <w:numId w:val="1003"/>
        </w:numPr>
      </w:pPr>
      <w:r>
        <w:t xml:space="preserve">internal API gateway traffic;</w:t>
      </w:r>
    </w:p>
    <w:p>
      <w:pPr>
        <w:pStyle w:val="Compact"/>
        <w:numPr>
          <w:ilvl w:val="0"/>
          <w:numId w:val="1003"/>
        </w:numPr>
      </w:pPr>
      <w:r>
        <w:t xml:space="preserve">service-mesh-mediated tool access;</w:t>
      </w:r>
    </w:p>
    <w:p>
      <w:pPr>
        <w:pStyle w:val="Compact"/>
        <w:numPr>
          <w:ilvl w:val="0"/>
          <w:numId w:val="1003"/>
        </w:numPr>
      </w:pPr>
      <w:r>
        <w:t xml:space="preserve">A2A traffic where used inside a single enterprise deployment;</w:t>
      </w:r>
    </w:p>
    <w:p>
      <w:pPr>
        <w:pStyle w:val="Compact"/>
        <w:numPr>
          <w:ilvl w:val="0"/>
          <w:numId w:val="1003"/>
        </w:numPr>
      </w:pPr>
      <w:r>
        <w:t xml:space="preserve">upstream actuator access mediated through a declared control point.</w:t>
      </w:r>
    </w:p>
    <w:p>
      <w:pPr>
        <w:pStyle w:val="FirstParagraph"/>
      </w:pPr>
      <w:r>
        <w:t xml:space="preserve">Bronze applies to:</w:t>
      </w:r>
    </w:p>
    <w:p>
      <w:pPr>
        <w:pStyle w:val="Compact"/>
        <w:numPr>
          <w:ilvl w:val="0"/>
          <w:numId w:val="1004"/>
        </w:numPr>
      </w:pPr>
      <w:r>
        <w:t xml:space="preserve">declared protected actuator sets;</w:t>
      </w:r>
    </w:p>
    <w:p>
      <w:pPr>
        <w:pStyle w:val="Compact"/>
        <w:numPr>
          <w:ilvl w:val="0"/>
          <w:numId w:val="1004"/>
        </w:numPr>
      </w:pPr>
      <w:r>
        <w:t xml:space="preserve">declared control surfaces;</w:t>
      </w:r>
    </w:p>
    <w:p>
      <w:pPr>
        <w:pStyle w:val="Compact"/>
        <w:numPr>
          <w:ilvl w:val="0"/>
          <w:numId w:val="1004"/>
        </w:numPr>
      </w:pPr>
      <w:r>
        <w:t xml:space="preserve">agent identity or identity-confidence handling;</w:t>
      </w:r>
    </w:p>
    <w:p>
      <w:pPr>
        <w:pStyle w:val="Compact"/>
        <w:numPr>
          <w:ilvl w:val="0"/>
          <w:numId w:val="1004"/>
        </w:numPr>
      </w:pPr>
      <w:r>
        <w:t xml:space="preserve">enforcement decision models;</w:t>
      </w:r>
    </w:p>
    <w:p>
      <w:pPr>
        <w:pStyle w:val="Compact"/>
        <w:numPr>
          <w:ilvl w:val="0"/>
          <w:numId w:val="1004"/>
        </w:numPr>
      </w:pPr>
      <w:r>
        <w:t xml:space="preserve">rate-limit or circuit-breaker behavior;</w:t>
      </w:r>
    </w:p>
    <w:p>
      <w:pPr>
        <w:pStyle w:val="Compact"/>
        <w:numPr>
          <w:ilvl w:val="0"/>
          <w:numId w:val="1004"/>
        </w:numPr>
      </w:pPr>
      <w:r>
        <w:t xml:space="preserve">emergency stop;</w:t>
      </w:r>
    </w:p>
    <w:p>
      <w:pPr>
        <w:pStyle w:val="Compact"/>
        <w:numPr>
          <w:ilvl w:val="0"/>
          <w:numId w:val="1004"/>
        </w:numPr>
      </w:pPr>
      <w:r>
        <w:t xml:space="preserve">bypass-prevention evidence;</w:t>
      </w:r>
    </w:p>
    <w:p>
      <w:pPr>
        <w:pStyle w:val="Compact"/>
        <w:numPr>
          <w:ilvl w:val="0"/>
          <w:numId w:val="1004"/>
        </w:numPr>
      </w:pPr>
      <w:r>
        <w:t xml:space="preserve">normalized audit evidence;</w:t>
      </w:r>
    </w:p>
    <w:p>
      <w:pPr>
        <w:pStyle w:val="Compact"/>
        <w:numPr>
          <w:ilvl w:val="0"/>
          <w:numId w:val="1004"/>
        </w:numPr>
      </w:pPr>
      <w:r>
        <w:t xml:space="preserve">performance evidence;</w:t>
      </w:r>
    </w:p>
    <w:p>
      <w:pPr>
        <w:pStyle w:val="Compact"/>
        <w:numPr>
          <w:ilvl w:val="0"/>
          <w:numId w:val="1004"/>
        </w:numPr>
      </w:pPr>
      <w:r>
        <w:t xml:space="preserve">ownership and runbooks.</w:t>
      </w:r>
    </w:p>
    <w:bookmarkEnd w:id="21"/>
    <w:bookmarkStart w:id="22" w:name="out-of-scope"/>
    <w:p>
      <w:pPr>
        <w:pStyle w:val="Heading3"/>
      </w:pPr>
      <w:r>
        <w:t xml:space="preserve">2.2 Out of Scope</w:t>
      </w:r>
    </w:p>
    <w:p>
      <w:pPr>
        <w:pStyle w:val="FirstParagraph"/>
      </w:pPr>
      <w:r>
        <w:t xml:space="preserve">Bronze does not require:</w:t>
      </w:r>
    </w:p>
    <w:p>
      <w:pPr>
        <w:pStyle w:val="Compact"/>
        <w:numPr>
          <w:ilvl w:val="0"/>
          <w:numId w:val="1005"/>
        </w:numPr>
      </w:pPr>
      <w:r>
        <w:t xml:space="preserve">cross-enterprise revocation;</w:t>
      </w:r>
    </w:p>
    <w:p>
      <w:pPr>
        <w:pStyle w:val="Compact"/>
        <w:numPr>
          <w:ilvl w:val="0"/>
          <w:numId w:val="1005"/>
        </w:numPr>
      </w:pPr>
      <w:r>
        <w:t xml:space="preserve">federated proof bundles;</w:t>
      </w:r>
    </w:p>
    <w:p>
      <w:pPr>
        <w:pStyle w:val="Compact"/>
        <w:numPr>
          <w:ilvl w:val="0"/>
          <w:numId w:val="1005"/>
        </w:numPr>
      </w:pPr>
      <w:r>
        <w:t xml:space="preserve">shared club governance;</w:t>
      </w:r>
    </w:p>
    <w:p>
      <w:pPr>
        <w:pStyle w:val="Compact"/>
        <w:numPr>
          <w:ilvl w:val="0"/>
          <w:numId w:val="1005"/>
        </w:numPr>
      </w:pPr>
      <w:r>
        <w:t xml:space="preserve">public-interest telemetry;</w:t>
      </w:r>
    </w:p>
    <w:p>
      <w:pPr>
        <w:pStyle w:val="Compact"/>
        <w:numPr>
          <w:ilvl w:val="0"/>
          <w:numId w:val="1005"/>
        </w:numPr>
      </w:pPr>
      <w:r>
        <w:t xml:space="preserve">regulator-operated dashboards;</w:t>
      </w:r>
    </w:p>
    <w:p>
      <w:pPr>
        <w:pStyle w:val="Compact"/>
        <w:numPr>
          <w:ilvl w:val="0"/>
          <w:numId w:val="1005"/>
        </w:numPr>
      </w:pPr>
      <w:r>
        <w:t xml:space="preserve">multi-organization incident response;</w:t>
      </w:r>
    </w:p>
    <w:p>
      <w:pPr>
        <w:pStyle w:val="Compact"/>
        <w:numPr>
          <w:ilvl w:val="0"/>
          <w:numId w:val="1005"/>
        </w:numPr>
      </w:pPr>
      <w:r>
        <w:t xml:space="preserve">ecosystem-wide emergency powers;</w:t>
      </w:r>
    </w:p>
    <w:p>
      <w:pPr>
        <w:pStyle w:val="Compact"/>
        <w:numPr>
          <w:ilvl w:val="0"/>
          <w:numId w:val="1005"/>
        </w:numPr>
      </w:pPr>
      <w:r>
        <w:t xml:space="preserve">public or quasi-public certification authority.</w:t>
      </w:r>
    </w:p>
    <w:p>
      <w:pPr>
        <w:pStyle w:val="FirstParagraph"/>
      </w:pPr>
      <w:r>
        <w:t xml:space="preserve">Those capabilities belong to later tiers such as Silver, Gold, and Platinum.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lationship-to-iron-plus"/>
    <w:p>
      <w:pPr>
        <w:pStyle w:val="Heading2"/>
      </w:pPr>
      <w:r>
        <w:t xml:space="preserve">3. Relationship to Iron-plus</w:t>
      </w:r>
    </w:p>
    <w:p>
      <w:pPr>
        <w:pStyle w:val="FirstParagraph"/>
      </w:pPr>
      <w:r>
        <w:t xml:space="preserve">Iron-plus proves that a live reference implementation can mediate, enforce, audit, and evidence control over a declared MCP surface.</w:t>
      </w:r>
    </w:p>
    <w:p>
      <w:pPr>
        <w:pStyle w:val="BodyText"/>
      </w:pPr>
      <w:r>
        <w:t xml:space="preserve">Bronze builds on Iron-plus by extending the claim from a single ProofRail-native control point to an enterprise pattern.</w:t>
      </w:r>
    </w:p>
    <w:p>
      <w:pPr>
        <w:pStyle w:val="BodyText"/>
      </w:pPr>
      <w:r>
        <w:t xml:space="preserve">Iron-plus asks:</w:t>
      </w:r>
    </w:p>
    <w:p>
      <w:pPr>
        <w:pStyle w:val="BlockText"/>
      </w:pPr>
      <w:r>
        <w:t xml:space="preserve">Can a rail exist?</w:t>
      </w:r>
    </w:p>
    <w:p>
      <w:pPr>
        <w:pStyle w:val="FirstParagraph"/>
      </w:pPr>
      <w:r>
        <w:t xml:space="preserve">Bronze asks:</w:t>
      </w:r>
    </w:p>
    <w:p>
      <w:pPr>
        <w:pStyle w:val="BlockText"/>
      </w:pPr>
      <w:r>
        <w:t xml:space="preserve">Can a rail be assembled across a real enterprise stack?</w:t>
      </w:r>
    </w:p>
    <w:p>
      <w:pPr>
        <w:pStyle w:val="FirstParagraph"/>
      </w:pPr>
      <w:r>
        <w:t xml:space="preserve">Bronze therefore inherits the Iron-plus emphasis on:</w:t>
      </w:r>
    </w:p>
    <w:p>
      <w:pPr>
        <w:pStyle w:val="Compact"/>
        <w:numPr>
          <w:ilvl w:val="0"/>
          <w:numId w:val="1006"/>
        </w:numPr>
      </w:pPr>
      <w:r>
        <w:t xml:space="preserve">protected actuator sets;</w:t>
      </w:r>
    </w:p>
    <w:p>
      <w:pPr>
        <w:pStyle w:val="Compact"/>
        <w:numPr>
          <w:ilvl w:val="0"/>
          <w:numId w:val="1006"/>
        </w:numPr>
      </w:pPr>
      <w:r>
        <w:t xml:space="preserve">bypass prevention;</w:t>
      </w:r>
    </w:p>
    <w:p>
      <w:pPr>
        <w:pStyle w:val="Compact"/>
        <w:numPr>
          <w:ilvl w:val="0"/>
          <w:numId w:val="1006"/>
        </w:numPr>
      </w:pPr>
      <w:r>
        <w:t xml:space="preserve">audit completeness;</w:t>
      </w:r>
    </w:p>
    <w:p>
      <w:pPr>
        <w:pStyle w:val="Compact"/>
        <w:numPr>
          <w:ilvl w:val="0"/>
          <w:numId w:val="1006"/>
        </w:numPr>
      </w:pPr>
      <w:r>
        <w:t xml:space="preserve">emergency stop;</w:t>
      </w:r>
    </w:p>
    <w:p>
      <w:pPr>
        <w:pStyle w:val="Compact"/>
        <w:numPr>
          <w:ilvl w:val="0"/>
          <w:numId w:val="1006"/>
        </w:numPr>
      </w:pPr>
      <w:r>
        <w:t xml:space="preserve">degradation behavior;</w:t>
      </w:r>
    </w:p>
    <w:p>
      <w:pPr>
        <w:pStyle w:val="Compact"/>
        <w:numPr>
          <w:ilvl w:val="0"/>
          <w:numId w:val="1006"/>
        </w:numPr>
      </w:pPr>
      <w:r>
        <w:t xml:space="preserve">performance evidence;</w:t>
      </w:r>
    </w:p>
    <w:p>
      <w:pPr>
        <w:pStyle w:val="Compact"/>
        <w:numPr>
          <w:ilvl w:val="0"/>
          <w:numId w:val="1006"/>
        </w:numPr>
      </w:pPr>
      <w:r>
        <w:t xml:space="preserve">evidence bundles.</w:t>
      </w:r>
    </w:p>
    <w:p>
      <w:pPr>
        <w:pStyle w:val="FirstParagraph"/>
      </w:pPr>
      <w:r>
        <w:t xml:space="preserve">Bronze adds:</w:t>
      </w:r>
    </w:p>
    <w:p>
      <w:pPr>
        <w:pStyle w:val="Compact"/>
        <w:numPr>
          <w:ilvl w:val="0"/>
          <w:numId w:val="1007"/>
        </w:numPr>
      </w:pPr>
      <w:r>
        <w:t xml:space="preserve">a broader enterprise stack view;</w:t>
      </w:r>
    </w:p>
    <w:p>
      <w:pPr>
        <w:pStyle w:val="Compact"/>
        <w:numPr>
          <w:ilvl w:val="0"/>
          <w:numId w:val="1007"/>
        </w:numPr>
      </w:pPr>
      <w:r>
        <w:t xml:space="preserve">support for composed deployments;</w:t>
      </w:r>
    </w:p>
    <w:p>
      <w:pPr>
        <w:pStyle w:val="Compact"/>
        <w:numPr>
          <w:ilvl w:val="0"/>
          <w:numId w:val="1007"/>
        </w:numPr>
      </w:pPr>
      <w:r>
        <w:t xml:space="preserve">rate-limit or circuit-breaker requirements as minimum Bronze primitives;</w:t>
      </w:r>
    </w:p>
    <w:p>
      <w:pPr>
        <w:pStyle w:val="Compact"/>
        <w:numPr>
          <w:ilvl w:val="0"/>
          <w:numId w:val="1007"/>
        </w:numPr>
      </w:pPr>
      <w:r>
        <w:t xml:space="preserve">explicit ownership and runbook requirements;</w:t>
      </w:r>
    </w:p>
    <w:p>
      <w:pPr>
        <w:pStyle w:val="Compact"/>
        <w:numPr>
          <w:ilvl w:val="0"/>
          <w:numId w:val="1007"/>
        </w:numPr>
      </w:pPr>
      <w:r>
        <w:t xml:space="preserve">cross-substrate claim portability.</w:t>
      </w:r>
    </w:p>
    <w:p>
      <w:r>
        <w:pict>
          <v:rect style="width:0;height:1.5pt" o:hralign="center" o:hrstd="t" o:hr="t"/>
        </w:pict>
      </w:r>
    </w:p>
    <w:bookmarkEnd w:id="24"/>
    <w:bookmarkStart w:id="27" w:name="profile-types"/>
    <w:p>
      <w:pPr>
        <w:pStyle w:val="Heading2"/>
      </w:pPr>
      <w:r>
        <w:t xml:space="preserve">4. Profile Types</w:t>
      </w:r>
    </w:p>
    <w:bookmarkStart w:id="25" w:name="native-bronze-preview"/>
    <w:p>
      <w:pPr>
        <w:pStyle w:val="Heading3"/>
      </w:pPr>
      <w:r>
        <w:t xml:space="preserve">4.1 Native Bronze Preview</w:t>
      </w:r>
    </w:p>
    <w:p>
      <w:pPr>
        <w:pStyle w:val="FirstParagraph"/>
      </w:pPr>
      <w:r>
        <w:t xml:space="preserve">Native Bronze Preview is a ProofRail-native extension of the Iron-plus implementation line.</w:t>
      </w:r>
    </w:p>
    <w:p>
      <w:pPr>
        <w:pStyle w:val="BodyText"/>
      </w:pPr>
      <w:r>
        <w:t xml:space="preserve">It demonstrates selected Bronze capabilities while remaining deliberately modest. It is not intended to become a full enterprise gateway.</w:t>
      </w:r>
    </w:p>
    <w:p>
      <w:pPr>
        <w:pStyle w:val="BodyText"/>
      </w:pPr>
      <w:r>
        <w:t xml:space="preserve">Native Bronze Preview may include:</w:t>
      </w:r>
    </w:p>
    <w:p>
      <w:pPr>
        <w:pStyle w:val="Compact"/>
        <w:numPr>
          <w:ilvl w:val="0"/>
          <w:numId w:val="1008"/>
        </w:numPr>
      </w:pPr>
      <w:r>
        <w:t xml:space="preserve">static multi-upstream routing;</w:t>
      </w:r>
    </w:p>
    <w:p>
      <w:pPr>
        <w:pStyle w:val="Compact"/>
        <w:numPr>
          <w:ilvl w:val="0"/>
          <w:numId w:val="1008"/>
        </w:numPr>
      </w:pPr>
      <w:r>
        <w:t xml:space="preserve">policy versioning;</w:t>
      </w:r>
    </w:p>
    <w:p>
      <w:pPr>
        <w:pStyle w:val="Compact"/>
        <w:numPr>
          <w:ilvl w:val="0"/>
          <w:numId w:val="1008"/>
        </w:numPr>
      </w:pPr>
      <w:r>
        <w:t xml:space="preserve">basic policy rollback;</w:t>
      </w:r>
    </w:p>
    <w:p>
      <w:pPr>
        <w:pStyle w:val="Compact"/>
        <w:numPr>
          <w:ilvl w:val="0"/>
          <w:numId w:val="1008"/>
        </w:numPr>
      </w:pPr>
      <w:r>
        <w:t xml:space="preserve">durable audit queue;</w:t>
      </w:r>
    </w:p>
    <w:p>
      <w:pPr>
        <w:pStyle w:val="Compact"/>
        <w:numPr>
          <w:ilvl w:val="0"/>
          <w:numId w:val="1008"/>
        </w:numPr>
      </w:pPr>
      <w:r>
        <w:t xml:space="preserve">demo OIDC identity profile;</w:t>
      </w:r>
    </w:p>
    <w:p>
      <w:pPr>
        <w:pStyle w:val="Compact"/>
        <w:numPr>
          <w:ilvl w:val="0"/>
          <w:numId w:val="1008"/>
        </w:numPr>
      </w:pPr>
      <w:r>
        <w:t xml:space="preserve">OTLP export;</w:t>
      </w:r>
    </w:p>
    <w:p>
      <w:pPr>
        <w:pStyle w:val="Compact"/>
        <w:numPr>
          <w:ilvl w:val="0"/>
          <w:numId w:val="1008"/>
        </w:numPr>
      </w:pPr>
      <w:r>
        <w:t xml:space="preserve">Docker secrets profile;</w:t>
      </w:r>
    </w:p>
    <w:p>
      <w:pPr>
        <w:pStyle w:val="Compact"/>
        <w:numPr>
          <w:ilvl w:val="0"/>
          <w:numId w:val="1008"/>
        </w:numPr>
      </w:pPr>
      <w:r>
        <w:t xml:space="preserve">Bronze claim generator.</w:t>
      </w:r>
    </w:p>
    <w:p>
      <w:pPr>
        <w:pStyle w:val="FirstParagraph"/>
      </w:pPr>
      <w:r>
        <w:t xml:space="preserve">Native Bronze Preview is useful as a reference implementation path, but it is not required for Composed Bronze.</w:t>
      </w:r>
    </w:p>
    <w:bookmarkEnd w:id="25"/>
    <w:bookmarkStart w:id="26" w:name="composed-bronze"/>
    <w:p>
      <w:pPr>
        <w:pStyle w:val="Heading3"/>
      </w:pPr>
      <w:r>
        <w:t xml:space="preserve">4.2 Composed Bronze</w:t>
      </w:r>
    </w:p>
    <w:p>
      <w:pPr>
        <w:pStyle w:val="FirstParagraph"/>
      </w:pPr>
      <w:r>
        <w:t xml:space="preserve">Composed Bronze uses existing enterprise or open-source components to support a ProofRail Bronze claim.</w:t>
      </w:r>
    </w:p>
    <w:p>
      <w:pPr>
        <w:pStyle w:val="BodyText"/>
      </w:pPr>
      <w:r>
        <w:t xml:space="preserve">A Composed Bronze stack may include:</w:t>
      </w:r>
    </w:p>
    <w:p>
      <w:pPr>
        <w:pStyle w:val="Compact"/>
        <w:numPr>
          <w:ilvl w:val="0"/>
          <w:numId w:val="1009"/>
        </w:numPr>
      </w:pPr>
      <w:r>
        <w:t xml:space="preserve">an AI/MCP/API gateway;</w:t>
      </w:r>
    </w:p>
    <w:p>
      <w:pPr>
        <w:pStyle w:val="Compact"/>
        <w:numPr>
          <w:ilvl w:val="0"/>
          <w:numId w:val="1009"/>
        </w:numPr>
      </w:pPr>
      <w:r>
        <w:t xml:space="preserve">an identity provider;</w:t>
      </w:r>
    </w:p>
    <w:p>
      <w:pPr>
        <w:pStyle w:val="Compact"/>
        <w:numPr>
          <w:ilvl w:val="0"/>
          <w:numId w:val="1009"/>
        </w:numPr>
      </w:pPr>
      <w:r>
        <w:t xml:space="preserve">an observability pipeline;</w:t>
      </w:r>
    </w:p>
    <w:p>
      <w:pPr>
        <w:pStyle w:val="Compact"/>
        <w:numPr>
          <w:ilvl w:val="0"/>
          <w:numId w:val="1009"/>
        </w:numPr>
      </w:pPr>
      <w:r>
        <w:t xml:space="preserve">a log/SIEM-like sink;</w:t>
      </w:r>
    </w:p>
    <w:p>
      <w:pPr>
        <w:pStyle w:val="Compact"/>
        <w:numPr>
          <w:ilvl w:val="0"/>
          <w:numId w:val="1009"/>
        </w:numPr>
      </w:pPr>
      <w:r>
        <w:t xml:space="preserve">protected MCP servers or mock actuators;</w:t>
      </w:r>
    </w:p>
    <w:p>
      <w:pPr>
        <w:pStyle w:val="Compact"/>
        <w:numPr>
          <w:ilvl w:val="0"/>
          <w:numId w:val="1009"/>
        </w:numPr>
      </w:pPr>
      <w:r>
        <w:t xml:space="preserve">a ProofRail conformance harness.</w:t>
      </w:r>
    </w:p>
    <w:p>
      <w:pPr>
        <w:pStyle w:val="FirstParagraph"/>
      </w:pPr>
      <w:r>
        <w:t xml:space="preserve">ProofRail supplies the conformance model, evidence schema, protected actuator declaration, bypass tests, audit mapping, and claim generator.</w:t>
      </w:r>
    </w:p>
    <w:p>
      <w:pPr>
        <w:pStyle w:val="BodyText"/>
      </w:pPr>
      <w:r>
        <w:t xml:space="preserve">Composed Bronze demonstrates that ProofRail can complement rather than compete with gateway vendors.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minimum-bronze-requirements"/>
    <w:p>
      <w:pPr>
        <w:pStyle w:val="Heading2"/>
      </w:pPr>
      <w:r>
        <w:t xml:space="preserve">5. Minimum Bronze Requirements</w:t>
      </w:r>
    </w:p>
    <w:p>
      <w:pPr>
        <w:pStyle w:val="FirstParagraph"/>
      </w:pPr>
      <w:r>
        <w:t xml:space="preserve">The following requirements define the minimum Bronze profile.</w:t>
      </w:r>
    </w:p>
    <w:p>
      <w:pPr>
        <w:pStyle w:val="BodyText"/>
      </w:pPr>
      <w:r>
        <w:t xml:space="preserve">Requirement IDs use the prefix</w:t>
      </w:r>
      <w:r>
        <w:t xml:space="preserve"> </w:t>
      </w:r>
      <w:r>
        <w:rPr>
          <w:rStyle w:val="VerbatimChar"/>
        </w:rPr>
        <w:t xml:space="preserve">BR-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8" w:name="br-001-protected-actuator-set"/>
    <w:p>
      <w:pPr>
        <w:pStyle w:val="Heading3"/>
      </w:pPr>
      <w:r>
        <w:t xml:space="preserve">BR-001: Protected Actuator Set</w:t>
      </w:r>
    </w:p>
    <w:p>
      <w:pPr>
        <w:pStyle w:val="FirstParagraph"/>
      </w:pPr>
      <w:r>
        <w:t xml:space="preserve">A Bronze deployment MUST declare a protected actuator set.</w:t>
      </w:r>
    </w:p>
    <w:p>
      <w:pPr>
        <w:pStyle w:val="BodyText"/>
      </w:pPr>
      <w:r>
        <w:t xml:space="preserve">The protected actuator set MUST include:</w:t>
      </w:r>
    </w:p>
    <w:p>
      <w:pPr>
        <w:pStyle w:val="Compact"/>
        <w:numPr>
          <w:ilvl w:val="0"/>
          <w:numId w:val="1010"/>
        </w:numPr>
      </w:pPr>
      <w:r>
        <w:t xml:space="preserve">name;</w:t>
      </w:r>
    </w:p>
    <w:p>
      <w:pPr>
        <w:pStyle w:val="Compact"/>
        <w:numPr>
          <w:ilvl w:val="0"/>
          <w:numId w:val="1010"/>
        </w:numPr>
      </w:pPr>
      <w:r>
        <w:t xml:space="preserve">version;</w:t>
      </w:r>
    </w:p>
    <w:p>
      <w:pPr>
        <w:pStyle w:val="Compact"/>
        <w:numPr>
          <w:ilvl w:val="0"/>
          <w:numId w:val="1010"/>
        </w:numPr>
      </w:pPr>
      <w:r>
        <w:t xml:space="preserve">contents;</w:t>
      </w:r>
    </w:p>
    <w:p>
      <w:pPr>
        <w:pStyle w:val="Compact"/>
        <w:numPr>
          <w:ilvl w:val="0"/>
          <w:numId w:val="1010"/>
        </w:numPr>
      </w:pPr>
      <w:r>
        <w:t xml:space="preserve">risk tier classification;</w:t>
      </w:r>
    </w:p>
    <w:p>
      <w:pPr>
        <w:pStyle w:val="Compact"/>
        <w:numPr>
          <w:ilvl w:val="0"/>
          <w:numId w:val="1010"/>
        </w:numPr>
      </w:pPr>
      <w:r>
        <w:t xml:space="preserve">canonical manifest;</w:t>
      </w:r>
    </w:p>
    <w:p>
      <w:pPr>
        <w:pStyle w:val="Compact"/>
        <w:numPr>
          <w:ilvl w:val="0"/>
          <w:numId w:val="1010"/>
        </w:numPr>
      </w:pPr>
      <w:r>
        <w:t xml:space="preserve">hash algorithm;</w:t>
      </w:r>
    </w:p>
    <w:p>
      <w:pPr>
        <w:pStyle w:val="Compact"/>
        <w:numPr>
          <w:ilvl w:val="0"/>
          <w:numId w:val="1010"/>
        </w:numPr>
      </w:pPr>
      <w:r>
        <w:t xml:space="preserve">manifest hash.</w:t>
      </w:r>
    </w:p>
    <w:p>
      <w:pPr>
        <w:pStyle w:val="FirstParagraph"/>
      </w:pPr>
      <w:r>
        <w:t xml:space="preserve">The protected actuator set MUST be specific enough to avoid vague claims such as</w:t>
      </w:r>
      <w:r>
        <w:t xml:space="preserve"> </w:t>
      </w:r>
      <w:r>
        <w:t xml:space="preserve">“our agents are governed.”</w:t>
      </w:r>
    </w:p>
    <w:p>
      <w:pPr>
        <w:pStyle w:val="BodyText"/>
      </w:pPr>
      <w:r>
        <w:t xml:space="preserve">A Bronze claim MUST NOT be accepted if no protected actuator set is declared.</w:t>
      </w:r>
    </w:p>
    <w:p>
      <w:r>
        <w:pict>
          <v:rect style="width:0;height:1.5pt" o:hralign="center" o:hrstd="t" o:hr="t"/>
        </w:pict>
      </w:r>
    </w:p>
    <w:bookmarkEnd w:id="28"/>
    <w:bookmarkStart w:id="29" w:name="br-002-declared-control-surface"/>
    <w:p>
      <w:pPr>
        <w:pStyle w:val="Heading3"/>
      </w:pPr>
      <w:r>
        <w:t xml:space="preserve">BR-002: Declared Control Surface</w:t>
      </w:r>
    </w:p>
    <w:p>
      <w:pPr>
        <w:pStyle w:val="FirstParagraph"/>
      </w:pPr>
      <w:r>
        <w:t xml:space="preserve">A Bronze deployment MUST identify the control surface or surfaces through which protected actuators are mediated.</w:t>
      </w:r>
    </w:p>
    <w:p>
      <w:pPr>
        <w:pStyle w:val="BodyText"/>
      </w:pPr>
      <w:r>
        <w:t xml:space="preserve">The control surface record SHOULD include:</w:t>
      </w:r>
    </w:p>
    <w:p>
      <w:pPr>
        <w:pStyle w:val="Compact"/>
        <w:numPr>
          <w:ilvl w:val="0"/>
          <w:numId w:val="1011"/>
        </w:numPr>
      </w:pPr>
      <w:r>
        <w:t xml:space="preserve">surface ID;</w:t>
      </w:r>
    </w:p>
    <w:p>
      <w:pPr>
        <w:pStyle w:val="Compact"/>
        <w:numPr>
          <w:ilvl w:val="0"/>
          <w:numId w:val="1011"/>
        </w:numPr>
      </w:pPr>
      <w:r>
        <w:t xml:space="preserve">surface type;</w:t>
      </w:r>
    </w:p>
    <w:p>
      <w:pPr>
        <w:pStyle w:val="Compact"/>
        <w:numPr>
          <w:ilvl w:val="0"/>
          <w:numId w:val="1011"/>
        </w:numPr>
      </w:pPr>
      <w:r>
        <w:t xml:space="preserve">substrate or vendor;</w:t>
      </w:r>
    </w:p>
    <w:p>
      <w:pPr>
        <w:pStyle w:val="Compact"/>
        <w:numPr>
          <w:ilvl w:val="0"/>
          <w:numId w:val="1011"/>
        </w:numPr>
      </w:pPr>
      <w:r>
        <w:t xml:space="preserve">version, where available;</w:t>
      </w:r>
    </w:p>
    <w:p>
      <w:pPr>
        <w:pStyle w:val="Compact"/>
        <w:numPr>
          <w:ilvl w:val="0"/>
          <w:numId w:val="1011"/>
        </w:numPr>
      </w:pPr>
      <w:r>
        <w:t xml:space="preserve">agent-facing endpoint;</w:t>
      </w:r>
    </w:p>
    <w:p>
      <w:pPr>
        <w:pStyle w:val="Compact"/>
        <w:numPr>
          <w:ilvl w:val="0"/>
          <w:numId w:val="1011"/>
        </w:numPr>
      </w:pPr>
      <w:r>
        <w:t xml:space="preserve">upstream-facing endpoint;</w:t>
      </w:r>
    </w:p>
    <w:p>
      <w:pPr>
        <w:pStyle w:val="Compact"/>
        <w:numPr>
          <w:ilvl w:val="0"/>
          <w:numId w:val="1011"/>
        </w:numPr>
      </w:pPr>
      <w:r>
        <w:t xml:space="preserve">configuration snapshot;</w:t>
      </w:r>
    </w:p>
    <w:p>
      <w:pPr>
        <w:pStyle w:val="Compact"/>
        <w:numPr>
          <w:ilvl w:val="0"/>
          <w:numId w:val="1011"/>
        </w:numPr>
      </w:pPr>
      <w:r>
        <w:t xml:space="preserve">configuration hash.</w:t>
      </w:r>
    </w:p>
    <w:p>
      <w:pPr>
        <w:pStyle w:val="FirstParagraph"/>
      </w:pPr>
      <w:r>
        <w:t xml:space="preserve">Examples of control surfaces include:</w:t>
      </w:r>
    </w:p>
    <w:p>
      <w:pPr>
        <w:pStyle w:val="Compact"/>
        <w:numPr>
          <w:ilvl w:val="0"/>
          <w:numId w:val="1012"/>
        </w:numPr>
      </w:pPr>
      <w:r>
        <w:t xml:space="preserve">ProofRail-native proxy;</w:t>
      </w:r>
    </w:p>
    <w:p>
      <w:pPr>
        <w:pStyle w:val="Compact"/>
        <w:numPr>
          <w:ilvl w:val="0"/>
          <w:numId w:val="1012"/>
        </w:numPr>
      </w:pPr>
      <w:r>
        <w:t xml:space="preserve">MCP gateway;</w:t>
      </w:r>
    </w:p>
    <w:p>
      <w:pPr>
        <w:pStyle w:val="Compact"/>
        <w:numPr>
          <w:ilvl w:val="0"/>
          <w:numId w:val="1012"/>
        </w:numPr>
      </w:pPr>
      <w:r>
        <w:t xml:space="preserve">API gateway;</w:t>
      </w:r>
    </w:p>
    <w:p>
      <w:pPr>
        <w:pStyle w:val="Compact"/>
        <w:numPr>
          <w:ilvl w:val="0"/>
          <w:numId w:val="1012"/>
        </w:numPr>
      </w:pPr>
      <w:r>
        <w:t xml:space="preserve">service mesh;</w:t>
      </w:r>
    </w:p>
    <w:p>
      <w:pPr>
        <w:pStyle w:val="Compact"/>
        <w:numPr>
          <w:ilvl w:val="0"/>
          <w:numId w:val="1012"/>
        </w:numPr>
      </w:pPr>
      <w:r>
        <w:t xml:space="preserve">A2A gateway;</w:t>
      </w:r>
    </w:p>
    <w:p>
      <w:pPr>
        <w:pStyle w:val="Compact"/>
        <w:numPr>
          <w:ilvl w:val="0"/>
          <w:numId w:val="1012"/>
        </w:numPr>
      </w:pPr>
      <w:r>
        <w:t xml:space="preserve">vendor AI gateway.</w:t>
      </w:r>
    </w:p>
    <w:p>
      <w:pPr>
        <w:pStyle w:val="FirstParagraph"/>
      </w:pPr>
      <w:r>
        <w:t xml:space="preserve">A Bronze claim MUST identify where enforcement occurs.</w:t>
      </w:r>
    </w:p>
    <w:p>
      <w:r>
        <w:pict>
          <v:rect style="width:0;height:1.5pt" o:hralign="center" o:hrstd="t" o:hr="t"/>
        </w:pict>
      </w:r>
    </w:p>
    <w:bookmarkEnd w:id="29"/>
    <w:bookmarkStart w:id="30" w:name="br-003-agent-identity-treatment"/>
    <w:p>
      <w:pPr>
        <w:pStyle w:val="Heading3"/>
      </w:pPr>
      <w:r>
        <w:t xml:space="preserve">BR-003: Agent Identity Treatment</w:t>
      </w:r>
    </w:p>
    <w:p>
      <w:pPr>
        <w:pStyle w:val="FirstParagraph"/>
      </w:pPr>
      <w:r>
        <w:t xml:space="preserve">A Bronze deployment MUST document how agent identity is captured or how identity confidence is handled.</w:t>
      </w:r>
    </w:p>
    <w:p>
      <w:pPr>
        <w:pStyle w:val="BodyText"/>
      </w:pPr>
      <w:r>
        <w:t xml:space="preserve">The claim SHOULD include:</w:t>
      </w:r>
    </w:p>
    <w:p>
      <w:pPr>
        <w:pStyle w:val="Compact"/>
        <w:numPr>
          <w:ilvl w:val="0"/>
          <w:numId w:val="1013"/>
        </w:numPr>
      </w:pPr>
      <w:r>
        <w:t xml:space="preserve">agent ID;</w:t>
      </w:r>
    </w:p>
    <w:p>
      <w:pPr>
        <w:pStyle w:val="Compact"/>
        <w:numPr>
          <w:ilvl w:val="0"/>
          <w:numId w:val="1013"/>
        </w:numPr>
      </w:pPr>
      <w:r>
        <w:t xml:space="preserve">human principal or sponsor, where available;</w:t>
      </w:r>
    </w:p>
    <w:p>
      <w:pPr>
        <w:pStyle w:val="Compact"/>
        <w:numPr>
          <w:ilvl w:val="0"/>
          <w:numId w:val="1013"/>
        </w:numPr>
      </w:pPr>
      <w:r>
        <w:t xml:space="preserve">runtime identity;</w:t>
      </w:r>
    </w:p>
    <w:p>
      <w:pPr>
        <w:pStyle w:val="Compact"/>
        <w:numPr>
          <w:ilvl w:val="0"/>
          <w:numId w:val="1013"/>
        </w:numPr>
      </w:pPr>
      <w:r>
        <w:t xml:space="preserve">session ID;</w:t>
      </w:r>
    </w:p>
    <w:p>
      <w:pPr>
        <w:pStyle w:val="Compact"/>
        <w:numPr>
          <w:ilvl w:val="0"/>
          <w:numId w:val="1013"/>
        </w:numPr>
      </w:pPr>
      <w:r>
        <w:t xml:space="preserve">correlation ID;</w:t>
      </w:r>
    </w:p>
    <w:p>
      <w:pPr>
        <w:pStyle w:val="Compact"/>
        <w:numPr>
          <w:ilvl w:val="0"/>
          <w:numId w:val="1013"/>
        </w:numPr>
      </w:pPr>
      <w:r>
        <w:t xml:space="preserve">identity confidence level;</w:t>
      </w:r>
    </w:p>
    <w:p>
      <w:pPr>
        <w:pStyle w:val="Compact"/>
        <w:numPr>
          <w:ilvl w:val="0"/>
          <w:numId w:val="1013"/>
        </w:numPr>
      </w:pPr>
      <w:r>
        <w:t xml:space="preserve">delegated scope, where available.</w:t>
      </w:r>
    </w:p>
    <w:p>
      <w:pPr>
        <w:pStyle w:val="FirstParagraph"/>
      </w:pPr>
      <w:r>
        <w:t xml:space="preserve">Bronze SHOULD support enterprise identity integration, but MAY accept identity-confidence handling in early profiles where full enterprise IdP integration is not yet present.</w:t>
      </w:r>
    </w:p>
    <w:p>
      <w:pPr>
        <w:pStyle w:val="BodyText"/>
      </w:pPr>
      <w:r>
        <w:t xml:space="preserve">For Tier 2 and Tier 3 actions, the deployment MUST define the minimum identity confidence required for actuation.</w:t>
      </w:r>
    </w:p>
    <w:p>
      <w:r>
        <w:pict>
          <v:rect style="width:0;height:1.5pt" o:hralign="center" o:hrstd="t" o:hr="t"/>
        </w:pict>
      </w:r>
    </w:p>
    <w:bookmarkEnd w:id="30"/>
    <w:bookmarkStart w:id="31" w:name="br-004-enforcement-decision-model"/>
    <w:p>
      <w:pPr>
        <w:pStyle w:val="Heading3"/>
      </w:pPr>
      <w:r>
        <w:t xml:space="preserve">BR-004: Enforcement Decision Model</w:t>
      </w:r>
    </w:p>
    <w:p>
      <w:pPr>
        <w:pStyle w:val="FirstParagraph"/>
      </w:pPr>
      <w:r>
        <w:t xml:space="preserve">A Bronze deployment MUST define a normalized enforcement decision vocabulary.</w:t>
      </w:r>
    </w:p>
    <w:p>
      <w:pPr>
        <w:pStyle w:val="BodyText"/>
      </w:pPr>
      <w:r>
        <w:t xml:space="preserve">The minimum decision vocabulary SHOULD include:</w:t>
      </w:r>
    </w:p>
    <w:p>
      <w:pPr>
        <w:pStyle w:val="Compact"/>
        <w:numPr>
          <w:ilvl w:val="0"/>
          <w:numId w:val="1014"/>
        </w:numPr>
      </w:pPr>
      <w:r>
        <w:t xml:space="preserve">allow;</w:t>
      </w:r>
    </w:p>
    <w:p>
      <w:pPr>
        <w:pStyle w:val="Compact"/>
        <w:numPr>
          <w:ilvl w:val="0"/>
          <w:numId w:val="1014"/>
        </w:numPr>
      </w:pPr>
      <w:r>
        <w:t xml:space="preserve">block;</w:t>
      </w:r>
    </w:p>
    <w:p>
      <w:pPr>
        <w:pStyle w:val="Compact"/>
        <w:numPr>
          <w:ilvl w:val="0"/>
          <w:numId w:val="1014"/>
        </w:numPr>
      </w:pPr>
      <w:r>
        <w:t xml:space="preserve">degrade;</w:t>
      </w:r>
    </w:p>
    <w:p>
      <w:pPr>
        <w:pStyle w:val="Compact"/>
        <w:numPr>
          <w:ilvl w:val="0"/>
          <w:numId w:val="1014"/>
        </w:numPr>
      </w:pPr>
      <w:r>
        <w:t xml:space="preserve">rate-limit;</w:t>
      </w:r>
    </w:p>
    <w:p>
      <w:pPr>
        <w:pStyle w:val="Compact"/>
        <w:numPr>
          <w:ilvl w:val="0"/>
          <w:numId w:val="1014"/>
        </w:numPr>
      </w:pPr>
      <w:r>
        <w:t xml:space="preserve">require approval;</w:t>
      </w:r>
    </w:p>
    <w:p>
      <w:pPr>
        <w:pStyle w:val="Compact"/>
        <w:numPr>
          <w:ilvl w:val="0"/>
          <w:numId w:val="1014"/>
        </w:numPr>
      </w:pPr>
      <w:r>
        <w:t xml:space="preserve">emergency stop.</w:t>
      </w:r>
    </w:p>
    <w:p>
      <w:pPr>
        <w:pStyle w:val="FirstParagraph"/>
      </w:pPr>
      <w:r>
        <w:t xml:space="preserve">The claim MUST map substrate-specific policy outcomes into this common vocabulary.</w:t>
      </w:r>
    </w:p>
    <w:p>
      <w:pPr>
        <w:pStyle w:val="BodyText"/>
      </w:pPr>
      <w:r>
        <w:t xml:space="preserve">For example, a vendor-specific</w:t>
      </w:r>
      <w:r>
        <w:t xml:space="preserve"> </w:t>
      </w:r>
      <w:r>
        <w:t xml:space="preserve">“deny,”</w:t>
      </w:r>
      <w:r>
        <w:t xml:space="preserve"> </w:t>
      </w:r>
      <w:r>
        <w:t xml:space="preserve">“reject,”</w:t>
      </w:r>
      <w:r>
        <w:t xml:space="preserve"> </w:t>
      </w:r>
      <w:r>
        <w:t xml:space="preserve">or</w:t>
      </w:r>
      <w:r>
        <w:t xml:space="preserve"> </w:t>
      </w:r>
      <w:r>
        <w:t xml:space="preserve">“policy violation”</w:t>
      </w:r>
      <w:r>
        <w:t xml:space="preserve"> </w:t>
      </w:r>
      <w:r>
        <w:t xml:space="preserve">outcome may map to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300cb75adf53481179c18cecb71526b88826a62"/>
    <w:p>
      <w:pPr>
        <w:pStyle w:val="Heading3"/>
      </w:pPr>
      <w:r>
        <w:t xml:space="preserve">BR-005: Rate-limit or Circuit-breaker Behavior</w:t>
      </w:r>
    </w:p>
    <w:p>
      <w:pPr>
        <w:pStyle w:val="FirstParagraph"/>
      </w:pPr>
      <w:r>
        <w:t xml:space="preserve">A Bronze deployment MUST demonstrate at least one velocity-constraining control.</w:t>
      </w:r>
    </w:p>
    <w:p>
      <w:pPr>
        <w:pStyle w:val="BodyText"/>
      </w:pPr>
      <w:r>
        <w:t xml:space="preserve">Acceptable controls include:</w:t>
      </w:r>
    </w:p>
    <w:p>
      <w:pPr>
        <w:pStyle w:val="Compact"/>
        <w:numPr>
          <w:ilvl w:val="0"/>
          <w:numId w:val="1015"/>
        </w:numPr>
      </w:pPr>
      <w:r>
        <w:t xml:space="preserve">per-agent rate limiting;</w:t>
      </w:r>
    </w:p>
    <w:p>
      <w:pPr>
        <w:pStyle w:val="Compact"/>
        <w:numPr>
          <w:ilvl w:val="0"/>
          <w:numId w:val="1015"/>
        </w:numPr>
      </w:pPr>
      <w:r>
        <w:t xml:space="preserve">per-actuator rate limiting;</w:t>
      </w:r>
    </w:p>
    <w:p>
      <w:pPr>
        <w:pStyle w:val="Compact"/>
        <w:numPr>
          <w:ilvl w:val="0"/>
          <w:numId w:val="1015"/>
        </w:numPr>
      </w:pPr>
      <w:r>
        <w:t xml:space="preserve">burst limiting;</w:t>
      </w:r>
    </w:p>
    <w:p>
      <w:pPr>
        <w:pStyle w:val="Compact"/>
        <w:numPr>
          <w:ilvl w:val="0"/>
          <w:numId w:val="1015"/>
        </w:numPr>
      </w:pPr>
      <w:r>
        <w:t xml:space="preserve">circuit breaker;</w:t>
      </w:r>
    </w:p>
    <w:p>
      <w:pPr>
        <w:pStyle w:val="Compact"/>
        <w:numPr>
          <w:ilvl w:val="0"/>
          <w:numId w:val="1015"/>
        </w:numPr>
      </w:pPr>
      <w:r>
        <w:t xml:space="preserve">aggregate risk threshold;</w:t>
      </w:r>
    </w:p>
    <w:p>
      <w:pPr>
        <w:pStyle w:val="Compact"/>
        <w:numPr>
          <w:ilvl w:val="0"/>
          <w:numId w:val="1015"/>
        </w:numPr>
      </w:pPr>
      <w:r>
        <w:t xml:space="preserve">safe-mode trigger.</w:t>
      </w:r>
    </w:p>
    <w:p>
      <w:pPr>
        <w:pStyle w:val="FirstParagraph"/>
      </w:pPr>
      <w:r>
        <w:t xml:space="preserve">The evidence MUST show:</w:t>
      </w:r>
    </w:p>
    <w:p>
      <w:pPr>
        <w:pStyle w:val="Compact"/>
        <w:numPr>
          <w:ilvl w:val="0"/>
          <w:numId w:val="1016"/>
        </w:numPr>
      </w:pPr>
      <w:r>
        <w:t xml:space="preserve">configuration;</w:t>
      </w:r>
    </w:p>
    <w:p>
      <w:pPr>
        <w:pStyle w:val="Compact"/>
        <w:numPr>
          <w:ilvl w:val="0"/>
          <w:numId w:val="1016"/>
        </w:numPr>
      </w:pPr>
      <w:r>
        <w:t xml:space="preserve">test method;</w:t>
      </w:r>
    </w:p>
    <w:p>
      <w:pPr>
        <w:pStyle w:val="Compact"/>
        <w:numPr>
          <w:ilvl w:val="0"/>
          <w:numId w:val="1016"/>
        </w:numPr>
      </w:pPr>
      <w:r>
        <w:t xml:space="preserve">expected behavior;</w:t>
      </w:r>
    </w:p>
    <w:p>
      <w:pPr>
        <w:pStyle w:val="Compact"/>
        <w:numPr>
          <w:ilvl w:val="0"/>
          <w:numId w:val="1016"/>
        </w:numPr>
      </w:pPr>
      <w:r>
        <w:t xml:space="preserve">observed behavior.</w:t>
      </w:r>
    </w:p>
    <w:p>
      <w:pPr>
        <w:pStyle w:val="FirstParagraph"/>
      </w:pPr>
      <w:r>
        <w:t xml:space="preserve">A deployment that only logs actions, without any velocity or burst constraint, SHOULD NOT qualify for Bronze.</w:t>
      </w:r>
    </w:p>
    <w:p>
      <w:r>
        <w:pict>
          <v:rect style="width:0;height:1.5pt" o:hralign="center" o:hrstd="t" o:hr="t"/>
        </w:pict>
      </w:r>
    </w:p>
    <w:bookmarkEnd w:id="32"/>
    <w:bookmarkStart w:id="33" w:name="br-006-emergency-stop"/>
    <w:p>
      <w:pPr>
        <w:pStyle w:val="Heading3"/>
      </w:pPr>
      <w:r>
        <w:t xml:space="preserve">BR-006: Emergency Stop</w:t>
      </w:r>
    </w:p>
    <w:p>
      <w:pPr>
        <w:pStyle w:val="FirstParagraph"/>
      </w:pPr>
      <w:r>
        <w:t xml:space="preserve">A Bronze deployment MUST provide an emergency-stop mechanism for protected actuation.</w:t>
      </w:r>
    </w:p>
    <w:p>
      <w:pPr>
        <w:pStyle w:val="BodyText"/>
      </w:pPr>
      <w:r>
        <w:t xml:space="preserve">Emergency stop MUST include:</w:t>
      </w:r>
    </w:p>
    <w:p>
      <w:pPr>
        <w:pStyle w:val="Compact"/>
        <w:numPr>
          <w:ilvl w:val="0"/>
          <w:numId w:val="1017"/>
        </w:numPr>
      </w:pPr>
      <w:r>
        <w:t xml:space="preserve">activation method;</w:t>
      </w:r>
    </w:p>
    <w:p>
      <w:pPr>
        <w:pStyle w:val="Compact"/>
        <w:numPr>
          <w:ilvl w:val="0"/>
          <w:numId w:val="1017"/>
        </w:numPr>
      </w:pPr>
      <w:r>
        <w:t xml:space="preserve">authorized operator or role;</w:t>
      </w:r>
    </w:p>
    <w:p>
      <w:pPr>
        <w:pStyle w:val="Compact"/>
        <w:numPr>
          <w:ilvl w:val="0"/>
          <w:numId w:val="1017"/>
        </w:numPr>
      </w:pPr>
      <w:r>
        <w:t xml:space="preserve">scope of stop;</w:t>
      </w:r>
    </w:p>
    <w:p>
      <w:pPr>
        <w:pStyle w:val="Compact"/>
        <w:numPr>
          <w:ilvl w:val="0"/>
          <w:numId w:val="1017"/>
        </w:numPr>
      </w:pPr>
      <w:r>
        <w:t xml:space="preserve">resume method;</w:t>
      </w:r>
    </w:p>
    <w:p>
      <w:pPr>
        <w:pStyle w:val="Compact"/>
        <w:numPr>
          <w:ilvl w:val="0"/>
          <w:numId w:val="1017"/>
        </w:numPr>
      </w:pPr>
      <w:r>
        <w:t xml:space="preserve">audit evidence;</w:t>
      </w:r>
    </w:p>
    <w:p>
      <w:pPr>
        <w:pStyle w:val="Compact"/>
        <w:numPr>
          <w:ilvl w:val="0"/>
          <w:numId w:val="1017"/>
        </w:numPr>
      </w:pPr>
      <w:r>
        <w:t xml:space="preserve">runbook reference.</w:t>
      </w:r>
    </w:p>
    <w:p>
      <w:pPr>
        <w:pStyle w:val="FirstParagraph"/>
      </w:pPr>
      <w:r>
        <w:t xml:space="preserve">Emergency stop MUST be tested.</w:t>
      </w:r>
    </w:p>
    <w:p>
      <w:pPr>
        <w:pStyle w:val="BodyText"/>
      </w:pPr>
      <w:r>
        <w:t xml:space="preserve">A Bronze claim MUST show that protected actuation is blocked while emergency stop is active.</w:t>
      </w:r>
    </w:p>
    <w:p>
      <w:r>
        <w:pict>
          <v:rect style="width:0;height:1.5pt" o:hralign="center" o:hrstd="t" o:hr="t"/>
        </w:pict>
      </w:r>
    </w:p>
    <w:bookmarkEnd w:id="33"/>
    <w:bookmarkStart w:id="34" w:name="br-007-bypass-prevention-evidence"/>
    <w:p>
      <w:pPr>
        <w:pStyle w:val="Heading3"/>
      </w:pPr>
      <w:r>
        <w:t xml:space="preserve">BR-007: Bypass-prevention Evidence</w:t>
      </w:r>
    </w:p>
    <w:p>
      <w:pPr>
        <w:pStyle w:val="FirstParagraph"/>
      </w:pPr>
      <w:r>
        <w:t xml:space="preserve">A Bronze deployment MUST include bypass-prevention evidence.</w:t>
      </w:r>
    </w:p>
    <w:p>
      <w:pPr>
        <w:pStyle w:val="BodyText"/>
      </w:pPr>
      <w:r>
        <w:t xml:space="preserve">Bypass evidence SHOULD test:</w:t>
      </w:r>
    </w:p>
    <w:p>
      <w:pPr>
        <w:pStyle w:val="Compact"/>
        <w:numPr>
          <w:ilvl w:val="0"/>
          <w:numId w:val="1018"/>
        </w:numPr>
      </w:pPr>
      <w:r>
        <w:t xml:space="preserve">whether the agent can reach the upstream actuator directly;</w:t>
      </w:r>
    </w:p>
    <w:p>
      <w:pPr>
        <w:pStyle w:val="Compact"/>
        <w:numPr>
          <w:ilvl w:val="0"/>
          <w:numId w:val="1018"/>
        </w:numPr>
      </w:pPr>
      <w:r>
        <w:t xml:space="preserve">whether the agent can obtain upstream actuator credentials;</w:t>
      </w:r>
    </w:p>
    <w:p>
      <w:pPr>
        <w:pStyle w:val="Compact"/>
        <w:numPr>
          <w:ilvl w:val="0"/>
          <w:numId w:val="1018"/>
        </w:numPr>
      </w:pPr>
      <w:r>
        <w:t xml:space="preserve">whether an untrusted workload can call the actuator without the required credential;</w:t>
      </w:r>
    </w:p>
    <w:p>
      <w:pPr>
        <w:pStyle w:val="Compact"/>
        <w:numPr>
          <w:ilvl w:val="0"/>
          <w:numId w:val="1018"/>
        </w:numPr>
      </w:pPr>
      <w:r>
        <w:t xml:space="preserve">whether the mediated path through the declared control surface succeeds.</w:t>
      </w:r>
    </w:p>
    <w:p>
      <w:pPr>
        <w:pStyle w:val="FirstParagraph"/>
      </w:pPr>
      <w:r>
        <w:t xml:space="preserve">Bypass prevention is a deployment claim, not merely a design claim.</w:t>
      </w:r>
    </w:p>
    <w:p>
      <w:pPr>
        <w:pStyle w:val="BodyText"/>
      </w:pPr>
      <w:r>
        <w:t xml:space="preserve">A deployment SHOULD NOT qualify for Bronze if agents retain unrestricted upstream credentials or direct unmediated upstream access.</w:t>
      </w:r>
    </w:p>
    <w:p>
      <w:r>
        <w:pict>
          <v:rect style="width:0;height:1.5pt" o:hralign="center" o:hrstd="t" o:hr="t"/>
        </w:pict>
      </w:r>
    </w:p>
    <w:bookmarkEnd w:id="34"/>
    <w:bookmarkStart w:id="35" w:name="br-008-normalized-audit-evidence"/>
    <w:p>
      <w:pPr>
        <w:pStyle w:val="Heading3"/>
      </w:pPr>
      <w:r>
        <w:t xml:space="preserve">BR-008: Normalized Audit Evidence</w:t>
      </w:r>
    </w:p>
    <w:p>
      <w:pPr>
        <w:pStyle w:val="FirstParagraph"/>
      </w:pPr>
      <w:r>
        <w:t xml:space="preserve">A Bronze deployment MUST emit audit evidence sufficient for incident response and governance review.</w:t>
      </w:r>
    </w:p>
    <w:p>
      <w:pPr>
        <w:pStyle w:val="BodyText"/>
      </w:pPr>
      <w:r>
        <w:t xml:space="preserve">Audit records MUST include, or be mappable to:</w:t>
      </w:r>
    </w:p>
    <w:p>
      <w:pPr>
        <w:pStyle w:val="Compact"/>
        <w:numPr>
          <w:ilvl w:val="0"/>
          <w:numId w:val="1019"/>
        </w:numPr>
      </w:pPr>
      <w:r>
        <w:t xml:space="preserve">timestamp;</w:t>
      </w:r>
    </w:p>
    <w:p>
      <w:pPr>
        <w:pStyle w:val="Compact"/>
        <w:numPr>
          <w:ilvl w:val="0"/>
          <w:numId w:val="1019"/>
        </w:numPr>
      </w:pPr>
      <w:r>
        <w:t xml:space="preserve">agent ID;</w:t>
      </w:r>
    </w:p>
    <w:p>
      <w:pPr>
        <w:pStyle w:val="Compact"/>
        <w:numPr>
          <w:ilvl w:val="0"/>
          <w:numId w:val="1019"/>
        </w:numPr>
      </w:pPr>
      <w:r>
        <w:t xml:space="preserve">action type;</w:t>
      </w:r>
    </w:p>
    <w:p>
      <w:pPr>
        <w:pStyle w:val="Compact"/>
        <w:numPr>
          <w:ilvl w:val="0"/>
          <w:numId w:val="1019"/>
        </w:numPr>
      </w:pPr>
      <w:r>
        <w:t xml:space="preserve">target;</w:t>
      </w:r>
    </w:p>
    <w:p>
      <w:pPr>
        <w:pStyle w:val="Compact"/>
        <w:numPr>
          <w:ilvl w:val="0"/>
          <w:numId w:val="1019"/>
        </w:numPr>
      </w:pPr>
      <w:r>
        <w:t xml:space="preserve">decision;</w:t>
      </w:r>
    </w:p>
    <w:p>
      <w:pPr>
        <w:pStyle w:val="Compact"/>
        <w:numPr>
          <w:ilvl w:val="0"/>
          <w:numId w:val="1019"/>
        </w:numPr>
      </w:pPr>
      <w:r>
        <w:t xml:space="preserve">decision reason;</w:t>
      </w:r>
    </w:p>
    <w:p>
      <w:pPr>
        <w:pStyle w:val="Compact"/>
        <w:numPr>
          <w:ilvl w:val="0"/>
          <w:numId w:val="1019"/>
        </w:numPr>
      </w:pPr>
      <w:r>
        <w:t xml:space="preserve">correlation ID;</w:t>
      </w:r>
    </w:p>
    <w:p>
      <w:pPr>
        <w:pStyle w:val="Compact"/>
        <w:numPr>
          <w:ilvl w:val="0"/>
          <w:numId w:val="1019"/>
        </w:numPr>
      </w:pPr>
      <w:r>
        <w:t xml:space="preserve">session ID;</w:t>
      </w:r>
    </w:p>
    <w:p>
      <w:pPr>
        <w:pStyle w:val="Compact"/>
        <w:numPr>
          <w:ilvl w:val="0"/>
          <w:numId w:val="1019"/>
        </w:numPr>
      </w:pPr>
      <w:r>
        <w:t xml:space="preserve">surface;</w:t>
      </w:r>
    </w:p>
    <w:p>
      <w:pPr>
        <w:pStyle w:val="Compact"/>
        <w:numPr>
          <w:ilvl w:val="0"/>
          <w:numId w:val="1019"/>
        </w:numPr>
      </w:pPr>
      <w:r>
        <w:t xml:space="preserve">environment;</w:t>
      </w:r>
    </w:p>
    <w:p>
      <w:pPr>
        <w:pStyle w:val="Compact"/>
        <w:numPr>
          <w:ilvl w:val="0"/>
          <w:numId w:val="1019"/>
        </w:numPr>
      </w:pPr>
      <w:r>
        <w:t xml:space="preserve">risk tier;</w:t>
      </w:r>
    </w:p>
    <w:p>
      <w:pPr>
        <w:pStyle w:val="Compact"/>
        <w:numPr>
          <w:ilvl w:val="0"/>
          <w:numId w:val="1019"/>
        </w:numPr>
      </w:pPr>
      <w:r>
        <w:t xml:space="preserve">latency;</w:t>
      </w:r>
    </w:p>
    <w:p>
      <w:pPr>
        <w:pStyle w:val="Compact"/>
        <w:numPr>
          <w:ilvl w:val="0"/>
          <w:numId w:val="1019"/>
        </w:numPr>
      </w:pPr>
      <w:r>
        <w:t xml:space="preserve">degradation or emergency state, where applicable.</w:t>
      </w:r>
    </w:p>
    <w:p>
      <w:pPr>
        <w:pStyle w:val="FirstParagraph"/>
      </w:pPr>
      <w:r>
        <w:t xml:space="preserve">Audit evidence SHOULD be mappable to an enterprise log or SIEM format such as ECS, OpenTelemetry, or another documented equivalent.</w:t>
      </w:r>
    </w:p>
    <w:p>
      <w:pPr>
        <w:pStyle w:val="BodyText"/>
      </w:pPr>
      <w:r>
        <w:t xml:space="preserve">Audit integrity SHOULD be supported through a hash chain, immutable log store, SIEM-native integrity mechanism, or documented equivalent.</w:t>
      </w:r>
    </w:p>
    <w:p>
      <w:r>
        <w:pict>
          <v:rect style="width:0;height:1.5pt" o:hralign="center" o:hrstd="t" o:hr="t"/>
        </w:pict>
      </w:r>
    </w:p>
    <w:bookmarkEnd w:id="35"/>
    <w:bookmarkStart w:id="36" w:name="br-009-performance-evidence"/>
    <w:p>
      <w:pPr>
        <w:pStyle w:val="Heading3"/>
      </w:pPr>
      <w:r>
        <w:t xml:space="preserve">BR-009: Performance Evidence</w:t>
      </w:r>
    </w:p>
    <w:p>
      <w:pPr>
        <w:pStyle w:val="FirstParagraph"/>
      </w:pPr>
      <w:r>
        <w:t xml:space="preserve">A Bronze deployment MUST include performance evidence.</w:t>
      </w:r>
    </w:p>
    <w:p>
      <w:pPr>
        <w:pStyle w:val="BodyText"/>
      </w:pPr>
      <w:r>
        <w:t xml:space="preserve">Performance evidence MUST include:</w:t>
      </w:r>
    </w:p>
    <w:p>
      <w:pPr>
        <w:pStyle w:val="Compact"/>
        <w:numPr>
          <w:ilvl w:val="0"/>
          <w:numId w:val="1020"/>
        </w:numPr>
      </w:pPr>
      <w:r>
        <w:t xml:space="preserve">test method;</w:t>
      </w:r>
    </w:p>
    <w:p>
      <w:pPr>
        <w:pStyle w:val="Compact"/>
        <w:numPr>
          <w:ilvl w:val="0"/>
          <w:numId w:val="1020"/>
        </w:numPr>
      </w:pPr>
      <w:r>
        <w:t xml:space="preserve">workload;</w:t>
      </w:r>
    </w:p>
    <w:p>
      <w:pPr>
        <w:pStyle w:val="Compact"/>
        <w:numPr>
          <w:ilvl w:val="0"/>
          <w:numId w:val="1020"/>
        </w:numPr>
      </w:pPr>
      <w:r>
        <w:t xml:space="preserve">request count;</w:t>
      </w:r>
    </w:p>
    <w:p>
      <w:pPr>
        <w:pStyle w:val="Compact"/>
        <w:numPr>
          <w:ilvl w:val="0"/>
          <w:numId w:val="1020"/>
        </w:numPr>
      </w:pPr>
      <w:r>
        <w:t xml:space="preserve">error count;</w:t>
      </w:r>
    </w:p>
    <w:p>
      <w:pPr>
        <w:pStyle w:val="Compact"/>
        <w:numPr>
          <w:ilvl w:val="0"/>
          <w:numId w:val="1020"/>
        </w:numPr>
      </w:pPr>
      <w:r>
        <w:t xml:space="preserve">p50, p95, and p99 latency where available;</w:t>
      </w:r>
    </w:p>
    <w:p>
      <w:pPr>
        <w:pStyle w:val="Compact"/>
        <w:numPr>
          <w:ilvl w:val="0"/>
          <w:numId w:val="1020"/>
        </w:numPr>
      </w:pPr>
      <w:r>
        <w:t xml:space="preserve">added latency or equivalent measurement;</w:t>
      </w:r>
    </w:p>
    <w:p>
      <w:pPr>
        <w:pStyle w:val="Compact"/>
        <w:numPr>
          <w:ilvl w:val="0"/>
          <w:numId w:val="1020"/>
        </w:numPr>
      </w:pPr>
      <w:r>
        <w:t xml:space="preserve">pass/fail threshold.</w:t>
      </w:r>
    </w:p>
    <w:p>
      <w:pPr>
        <w:pStyle w:val="FirstParagraph"/>
      </w:pPr>
      <w:r>
        <w:t xml:space="preserve">The default draft Bronze latency threshold is:</w:t>
      </w:r>
    </w:p>
    <w:p>
      <w:pPr>
        <w:pStyle w:val="BlockText"/>
      </w:pPr>
      <w:r>
        <w:t xml:space="preserve">p95 added latency ≤ 100 ms</w:t>
      </w:r>
    </w:p>
    <w:p>
      <w:pPr>
        <w:pStyle w:val="FirstParagraph"/>
      </w:pPr>
      <w:r>
        <w:t xml:space="preserve">The Iron-plus reference threshold remains:</w:t>
      </w:r>
    </w:p>
    <w:p>
      <w:pPr>
        <w:pStyle w:val="BlockText"/>
      </w:pPr>
      <w:r>
        <w:t xml:space="preserve">p95 ProofRail-added latency ≤ 50 ms</w:t>
      </w:r>
    </w:p>
    <w:p>
      <w:pPr>
        <w:pStyle w:val="FirstParagraph"/>
      </w:pPr>
      <w:r>
        <w:t xml:space="preserve">The Bronze threshold may be tightened in later drafts.</w:t>
      </w:r>
    </w:p>
    <w:p>
      <w:r>
        <w:pict>
          <v:rect style="width:0;height:1.5pt" o:hralign="center" o:hrstd="t" o:hr="t"/>
        </w:pict>
      </w:r>
    </w:p>
    <w:bookmarkEnd w:id="36"/>
    <w:bookmarkStart w:id="37" w:name="br-010-ownership-and-runbook"/>
    <w:p>
      <w:pPr>
        <w:pStyle w:val="Heading3"/>
      </w:pPr>
      <w:r>
        <w:t xml:space="preserve">BR-010: Ownership and Runbook</w:t>
      </w:r>
    </w:p>
    <w:p>
      <w:pPr>
        <w:pStyle w:val="FirstParagraph"/>
      </w:pPr>
      <w:r>
        <w:t xml:space="preserve">A Bronze deployment MUST define ownership and operating procedures.</w:t>
      </w:r>
    </w:p>
    <w:p>
      <w:pPr>
        <w:pStyle w:val="BodyText"/>
      </w:pPr>
      <w:r>
        <w:t xml:space="preserve">The claim MUST identify:</w:t>
      </w:r>
    </w:p>
    <w:p>
      <w:pPr>
        <w:pStyle w:val="Compact"/>
        <w:numPr>
          <w:ilvl w:val="0"/>
          <w:numId w:val="1021"/>
        </w:numPr>
      </w:pPr>
      <w:r>
        <w:t xml:space="preserve">platform owner;</w:t>
      </w:r>
    </w:p>
    <w:p>
      <w:pPr>
        <w:pStyle w:val="Compact"/>
        <w:numPr>
          <w:ilvl w:val="0"/>
          <w:numId w:val="1021"/>
        </w:numPr>
      </w:pPr>
      <w:r>
        <w:t xml:space="preserve">security owner;</w:t>
      </w:r>
    </w:p>
    <w:p>
      <w:pPr>
        <w:pStyle w:val="Compact"/>
        <w:numPr>
          <w:ilvl w:val="0"/>
          <w:numId w:val="1021"/>
        </w:numPr>
      </w:pPr>
      <w:r>
        <w:t xml:space="preserve">system owner;</w:t>
      </w:r>
    </w:p>
    <w:p>
      <w:pPr>
        <w:pStyle w:val="Compact"/>
        <w:numPr>
          <w:ilvl w:val="0"/>
          <w:numId w:val="1021"/>
        </w:numPr>
      </w:pPr>
      <w:r>
        <w:t xml:space="preserve">incident owner or incident commander;</w:t>
      </w:r>
    </w:p>
    <w:p>
      <w:pPr>
        <w:pStyle w:val="Compact"/>
        <w:numPr>
          <w:ilvl w:val="0"/>
          <w:numId w:val="1021"/>
        </w:numPr>
      </w:pPr>
      <w:r>
        <w:t xml:space="preserve">emergency-stop authority;</w:t>
      </w:r>
    </w:p>
    <w:p>
      <w:pPr>
        <w:pStyle w:val="Compact"/>
        <w:numPr>
          <w:ilvl w:val="0"/>
          <w:numId w:val="1021"/>
        </w:numPr>
      </w:pPr>
      <w:r>
        <w:t xml:space="preserve">runbook location;</w:t>
      </w:r>
    </w:p>
    <w:p>
      <w:pPr>
        <w:pStyle w:val="Compact"/>
        <w:numPr>
          <w:ilvl w:val="0"/>
          <w:numId w:val="1021"/>
        </w:numPr>
      </w:pPr>
      <w:r>
        <w:t xml:space="preserve">review or maintenance cadence, where available.</w:t>
      </w:r>
    </w:p>
    <w:p>
      <w:pPr>
        <w:pStyle w:val="FirstParagraph"/>
      </w:pPr>
      <w:r>
        <w:t xml:space="preserve">A technical control without named ownership and runbook support SHOULD NOT qualify as Bronze.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bronze-evidence-bundle"/>
    <w:p>
      <w:pPr>
        <w:pStyle w:val="Heading2"/>
      </w:pPr>
      <w:r>
        <w:t xml:space="preserve">6. Bronze Evidence Bundle</w:t>
      </w:r>
    </w:p>
    <w:p>
      <w:pPr>
        <w:pStyle w:val="FirstParagraph"/>
      </w:pPr>
      <w:r>
        <w:t xml:space="preserve">A Bronze claim MUST be supported by an evidence bundle.</w:t>
      </w:r>
    </w:p>
    <w:p>
      <w:pPr>
        <w:pStyle w:val="BodyText"/>
      </w:pPr>
      <w:r>
        <w:t xml:space="preserve">The evidence bundle SHOULD include:</w:t>
      </w:r>
    </w:p>
    <w:p>
      <w:pPr>
        <w:pStyle w:val="Compact"/>
        <w:numPr>
          <w:ilvl w:val="0"/>
          <w:numId w:val="1022"/>
        </w:numPr>
      </w:pPr>
      <w:r>
        <w:t xml:space="preserve">Bronze claim YAML;</w:t>
      </w:r>
    </w:p>
    <w:p>
      <w:pPr>
        <w:pStyle w:val="Compact"/>
        <w:numPr>
          <w:ilvl w:val="0"/>
          <w:numId w:val="1022"/>
        </w:numPr>
      </w:pPr>
      <w:r>
        <w:t xml:space="preserve">protected actuator set manifest;</w:t>
      </w:r>
    </w:p>
    <w:p>
      <w:pPr>
        <w:pStyle w:val="Compact"/>
        <w:numPr>
          <w:ilvl w:val="0"/>
          <w:numId w:val="1022"/>
        </w:numPr>
      </w:pPr>
      <w:r>
        <w:t xml:space="preserve">protected actuator set hash;</w:t>
      </w:r>
    </w:p>
    <w:p>
      <w:pPr>
        <w:pStyle w:val="Compact"/>
        <w:numPr>
          <w:ilvl w:val="0"/>
          <w:numId w:val="1022"/>
        </w:numPr>
      </w:pPr>
      <w:r>
        <w:t xml:space="preserve">control surface configuration snapshot;</w:t>
      </w:r>
    </w:p>
    <w:p>
      <w:pPr>
        <w:pStyle w:val="Compact"/>
        <w:numPr>
          <w:ilvl w:val="0"/>
          <w:numId w:val="1022"/>
        </w:numPr>
      </w:pPr>
      <w:r>
        <w:t xml:space="preserve">identity mapping;</w:t>
      </w:r>
    </w:p>
    <w:p>
      <w:pPr>
        <w:pStyle w:val="Compact"/>
        <w:numPr>
          <w:ilvl w:val="0"/>
          <w:numId w:val="1022"/>
        </w:numPr>
      </w:pPr>
      <w:r>
        <w:t xml:space="preserve">policy snapshot;</w:t>
      </w:r>
    </w:p>
    <w:p>
      <w:pPr>
        <w:pStyle w:val="Compact"/>
        <w:numPr>
          <w:ilvl w:val="0"/>
          <w:numId w:val="1022"/>
        </w:numPr>
      </w:pPr>
      <w:r>
        <w:t xml:space="preserve">rate-limit or circuit-breaker test result;</w:t>
      </w:r>
    </w:p>
    <w:p>
      <w:pPr>
        <w:pStyle w:val="Compact"/>
        <w:numPr>
          <w:ilvl w:val="0"/>
          <w:numId w:val="1022"/>
        </w:numPr>
      </w:pPr>
      <w:r>
        <w:t xml:space="preserve">emergency-stop test result;</w:t>
      </w:r>
    </w:p>
    <w:p>
      <w:pPr>
        <w:pStyle w:val="Compact"/>
        <w:numPr>
          <w:ilvl w:val="0"/>
          <w:numId w:val="1022"/>
        </w:numPr>
      </w:pPr>
      <w:r>
        <w:t xml:space="preserve">bypass-prevention test result;</w:t>
      </w:r>
    </w:p>
    <w:p>
      <w:pPr>
        <w:pStyle w:val="Compact"/>
        <w:numPr>
          <w:ilvl w:val="0"/>
          <w:numId w:val="1022"/>
        </w:numPr>
      </w:pPr>
      <w:r>
        <w:t xml:space="preserve">sample audit events;</w:t>
      </w:r>
    </w:p>
    <w:p>
      <w:pPr>
        <w:pStyle w:val="Compact"/>
        <w:numPr>
          <w:ilvl w:val="0"/>
          <w:numId w:val="1022"/>
        </w:numPr>
      </w:pPr>
      <w:r>
        <w:t xml:space="preserve">audit/SIEM mapping;</w:t>
      </w:r>
    </w:p>
    <w:p>
      <w:pPr>
        <w:pStyle w:val="Compact"/>
        <w:numPr>
          <w:ilvl w:val="0"/>
          <w:numId w:val="1022"/>
        </w:numPr>
      </w:pPr>
      <w:r>
        <w:t xml:space="preserve">performance results;</w:t>
      </w:r>
    </w:p>
    <w:p>
      <w:pPr>
        <w:pStyle w:val="Compact"/>
        <w:numPr>
          <w:ilvl w:val="0"/>
          <w:numId w:val="1022"/>
        </w:numPr>
      </w:pPr>
      <w:r>
        <w:t xml:space="preserve">runbook;</w:t>
      </w:r>
    </w:p>
    <w:p>
      <w:pPr>
        <w:pStyle w:val="Compact"/>
        <w:numPr>
          <w:ilvl w:val="0"/>
          <w:numId w:val="1022"/>
        </w:numPr>
      </w:pPr>
      <w:r>
        <w:t xml:space="preserve">known limitations;</w:t>
      </w:r>
    </w:p>
    <w:p>
      <w:pPr>
        <w:pStyle w:val="Compact"/>
        <w:numPr>
          <w:ilvl w:val="0"/>
          <w:numId w:val="1022"/>
        </w:numPr>
      </w:pPr>
      <w:r>
        <w:t xml:space="preserve">deferred items.</w:t>
      </w:r>
    </w:p>
    <w:p>
      <w:pPr>
        <w:pStyle w:val="FirstParagraph"/>
      </w:pPr>
      <w:r>
        <w:t xml:space="preserve">The evidence bundle SHOULD have its own hash.</w:t>
      </w:r>
    </w:p>
    <w:p>
      <w:pPr>
        <w:pStyle w:val="BodyText"/>
      </w:pPr>
      <w:r>
        <w:t xml:space="preserve">The evidence bundle MAY be self-attested for demos, but MUST state the validation type.</w:t>
      </w:r>
    </w:p>
    <w:p>
      <w:r>
        <w:pict>
          <v:rect style="width:0;height:1.5pt" o:hralign="center" o:hrstd="t" o:hr="t"/>
        </w:pict>
      </w:r>
    </w:p>
    <w:bookmarkEnd w:id="39"/>
    <w:bookmarkStart w:id="44" w:name="claim-status"/>
    <w:p>
      <w:pPr>
        <w:pStyle w:val="Heading2"/>
      </w:pPr>
      <w:r>
        <w:t xml:space="preserve">7. Claim Status</w:t>
      </w:r>
    </w:p>
    <w:p>
      <w:pPr>
        <w:pStyle w:val="FirstParagraph"/>
      </w:pPr>
      <w:r>
        <w:t xml:space="preserve">A Bronze claim may have one of the following statuses:</w:t>
      </w:r>
    </w:p>
    <w:bookmarkStart w:id="40" w:name="draft"/>
    <w:p>
      <w:pPr>
        <w:pStyle w:val="Heading3"/>
      </w:pPr>
      <w:r>
        <w:t xml:space="preserve">draft</w:t>
      </w:r>
    </w:p>
    <w:p>
      <w:pPr>
        <w:pStyle w:val="FirstParagraph"/>
      </w:pPr>
      <w:r>
        <w:t xml:space="preserve">The claim object is populated, but evidence is incomplete.</w:t>
      </w:r>
    </w:p>
    <w:bookmarkEnd w:id="40"/>
    <w:bookmarkStart w:id="41" w:name="tested"/>
    <w:p>
      <w:pPr>
        <w:pStyle w:val="Heading3"/>
      </w:pPr>
      <w:r>
        <w:t xml:space="preserve">tested</w:t>
      </w:r>
    </w:p>
    <w:p>
      <w:pPr>
        <w:pStyle w:val="FirstParagraph"/>
      </w:pPr>
      <w:r>
        <w:t xml:space="preserve">Core tests have run, but the evidence bundle is not frozen.</w:t>
      </w:r>
    </w:p>
    <w:bookmarkEnd w:id="41"/>
    <w:bookmarkStart w:id="42" w:name="evidence_closed"/>
    <w:p>
      <w:pPr>
        <w:pStyle w:val="Heading3"/>
      </w:pPr>
      <w:r>
        <w:t xml:space="preserve">evidence_closed</w:t>
      </w:r>
    </w:p>
    <w:p>
      <w:pPr>
        <w:pStyle w:val="FirstParagraph"/>
      </w:pPr>
      <w:r>
        <w:t xml:space="preserve">The evidence bundle is complete, hashed, and associated with a specific deployment state.</w:t>
      </w:r>
    </w:p>
    <w:bookmarkEnd w:id="42"/>
    <w:bookmarkStart w:id="43" w:name="superseded"/>
    <w:p>
      <w:pPr>
        <w:pStyle w:val="Heading3"/>
      </w:pPr>
      <w:r>
        <w:t xml:space="preserve">superseded</w:t>
      </w:r>
    </w:p>
    <w:p>
      <w:pPr>
        <w:pStyle w:val="FirstParagraph"/>
      </w:pPr>
      <w:r>
        <w:t xml:space="preserve">The claim has been replaced by a later claim.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validation-types"/>
    <w:p>
      <w:pPr>
        <w:pStyle w:val="Heading2"/>
      </w:pPr>
      <w:r>
        <w:t xml:space="preserve">8. Validation Types</w:t>
      </w:r>
    </w:p>
    <w:p>
      <w:pPr>
        <w:pStyle w:val="FirstParagraph"/>
      </w:pPr>
      <w:r>
        <w:t xml:space="preserve">A Bronze validation may have one of the following types:</w:t>
      </w:r>
    </w:p>
    <w:bookmarkStart w:id="45" w:name="self_attested_demo"/>
    <w:p>
      <w:pPr>
        <w:pStyle w:val="Heading3"/>
      </w:pPr>
      <w:r>
        <w:t xml:space="preserve">self_attested_demo</w:t>
      </w:r>
    </w:p>
    <w:p>
      <w:pPr>
        <w:pStyle w:val="FirstParagraph"/>
      </w:pPr>
      <w:r>
        <w:t xml:space="preserve">The deployment owner has executed the tests and assembled the evidence bundle.</w:t>
      </w:r>
    </w:p>
    <w:bookmarkEnd w:id="45"/>
    <w:bookmarkStart w:id="46" w:name="internal_review"/>
    <w:p>
      <w:pPr>
        <w:pStyle w:val="Heading3"/>
      </w:pPr>
      <w:r>
        <w:t xml:space="preserve">internal_review</w:t>
      </w:r>
    </w:p>
    <w:p>
      <w:pPr>
        <w:pStyle w:val="FirstParagraph"/>
      </w:pPr>
      <w:r>
        <w:t xml:space="preserve">An internal reviewer or team has reviewed the evidence.</w:t>
      </w:r>
    </w:p>
    <w:bookmarkEnd w:id="46"/>
    <w:bookmarkStart w:id="47" w:name="independent_review"/>
    <w:p>
      <w:pPr>
        <w:pStyle w:val="Heading3"/>
      </w:pPr>
      <w:r>
        <w:t xml:space="preserve">independent_review</w:t>
      </w:r>
    </w:p>
    <w:p>
      <w:pPr>
        <w:pStyle w:val="FirstParagraph"/>
      </w:pPr>
      <w:r>
        <w:t xml:space="preserve">A third party has reviewed the evidence.</w:t>
      </w:r>
    </w:p>
    <w:bookmarkEnd w:id="47"/>
    <w:bookmarkStart w:id="48" w:name="vendor_profile_review"/>
    <w:p>
      <w:pPr>
        <w:pStyle w:val="Heading3"/>
      </w:pPr>
      <w:r>
        <w:t xml:space="preserve">vendor_profile_review</w:t>
      </w:r>
    </w:p>
    <w:p>
      <w:pPr>
        <w:pStyle w:val="FirstParagraph"/>
      </w:pPr>
      <w:r>
        <w:t xml:space="preserve">A vendor substrate has been mapped to the ProofRail Bronze claim structure, but the deployment remains enterprise-owned.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bronze-acceptance-tests"/>
    <w:p>
      <w:pPr>
        <w:pStyle w:val="Heading2"/>
      </w:pPr>
      <w:r>
        <w:t xml:space="preserve">9. Bronze Acceptance Tests</w:t>
      </w:r>
    </w:p>
    <w:p>
      <w:pPr>
        <w:pStyle w:val="FirstParagraph"/>
      </w:pPr>
      <w:r>
        <w:t xml:space="preserve">Acceptance tests use the prefix</w:t>
      </w:r>
      <w:r>
        <w:t xml:space="preserve"> </w:t>
      </w:r>
      <w:r>
        <w:rPr>
          <w:rStyle w:val="VerbatimChar"/>
        </w:rPr>
        <w:t xml:space="preserve">BR-AT-</w:t>
      </w:r>
      <w:r>
        <w:t xml:space="preserve">.</w:t>
      </w:r>
    </w:p>
    <w:bookmarkStart w:id="50" w:name="Xe6e95fd38998ae63119ee86c10d5f8fda29ef5f"/>
    <w:p>
      <w:pPr>
        <w:pStyle w:val="Heading3"/>
      </w:pPr>
      <w:r>
        <w:t xml:space="preserve">BR-AT-001: Protected Actuator Set Integrity</w:t>
      </w:r>
    </w:p>
    <w:p>
      <w:pPr>
        <w:pStyle w:val="FirstParagraph"/>
      </w:pPr>
      <w:r>
        <w:t xml:space="preserve">Validate that the protected actuator set manifest exists, is canonicalized, and hashes to the value recorded in the claim.</w:t>
      </w:r>
    </w:p>
    <w:bookmarkEnd w:id="50"/>
    <w:bookmarkStart w:id="51" w:name="br-at-002-control-surface-declaration"/>
    <w:p>
      <w:pPr>
        <w:pStyle w:val="Heading3"/>
      </w:pPr>
      <w:r>
        <w:t xml:space="preserve">BR-AT-002: Control Surface Declaration</w:t>
      </w:r>
    </w:p>
    <w:p>
      <w:pPr>
        <w:pStyle w:val="FirstParagraph"/>
      </w:pPr>
      <w:r>
        <w:t xml:space="preserve">Validate that at least one declared control surface is present and includes configuration evidence.</w:t>
      </w:r>
    </w:p>
    <w:bookmarkEnd w:id="51"/>
    <w:bookmarkStart w:id="52" w:name="br-at-003-identity-treatment"/>
    <w:p>
      <w:pPr>
        <w:pStyle w:val="Heading3"/>
      </w:pPr>
      <w:r>
        <w:t xml:space="preserve">BR-AT-003: Identity Treatment</w:t>
      </w:r>
    </w:p>
    <w:p>
      <w:pPr>
        <w:pStyle w:val="FirstParagraph"/>
      </w:pPr>
      <w:r>
        <w:t xml:space="preserve">Validate that identity or identity-confidence treatment is documented and that Tier 2/3 behavior is defined.</w:t>
      </w:r>
    </w:p>
    <w:bookmarkEnd w:id="52"/>
    <w:bookmarkStart w:id="53" w:name="br-at-004-policy-decision-mapping"/>
    <w:p>
      <w:pPr>
        <w:pStyle w:val="Heading3"/>
      </w:pPr>
      <w:r>
        <w:t xml:space="preserve">BR-AT-004: Policy Decision Mapping</w:t>
      </w:r>
    </w:p>
    <w:p>
      <w:pPr>
        <w:pStyle w:val="FirstParagraph"/>
      </w:pPr>
      <w:r>
        <w:t xml:space="preserve">Validate that substrate-specific decisions map to the Bronze decision vocabulary.</w:t>
      </w:r>
    </w:p>
    <w:bookmarkEnd w:id="53"/>
    <w:bookmarkStart w:id="54" w:name="X68e95f50948864ef1124899f1cd614b730ee6fa"/>
    <w:p>
      <w:pPr>
        <w:pStyle w:val="Heading3"/>
      </w:pPr>
      <w:r>
        <w:t xml:space="preserve">BR-AT-005: Rate-limit or Circuit-breaker Test</w:t>
      </w:r>
    </w:p>
    <w:p>
      <w:pPr>
        <w:pStyle w:val="FirstParagraph"/>
      </w:pPr>
      <w:r>
        <w:t xml:space="preserve">Validate that a configured velocity constraint produces the expected allow/block/rate-limit/degrade behavior.</w:t>
      </w:r>
    </w:p>
    <w:bookmarkEnd w:id="54"/>
    <w:bookmarkStart w:id="55" w:name="br-at-006-emergency-stop-test"/>
    <w:p>
      <w:pPr>
        <w:pStyle w:val="Heading3"/>
      </w:pPr>
      <w:r>
        <w:t xml:space="preserve">BR-AT-006: Emergency-stop Test</w:t>
      </w:r>
    </w:p>
    <w:p>
      <w:pPr>
        <w:pStyle w:val="FirstParagraph"/>
      </w:pPr>
      <w:r>
        <w:t xml:space="preserve">Validate that emergency stop blocks protected actuation and that resume requires explicit authorization or confirmation.</w:t>
      </w:r>
    </w:p>
    <w:bookmarkEnd w:id="55"/>
    <w:bookmarkStart w:id="56" w:name="br-at-007-bypass-prevention-test"/>
    <w:p>
      <w:pPr>
        <w:pStyle w:val="Heading3"/>
      </w:pPr>
      <w:r>
        <w:t xml:space="preserve">BR-AT-007: Bypass-prevention Test</w:t>
      </w:r>
    </w:p>
    <w:p>
      <w:pPr>
        <w:pStyle w:val="FirstParagraph"/>
      </w:pPr>
      <w:r>
        <w:t xml:space="preserve">Validate that direct upstream access and credential bypass fail, while the mediated path succeeds.</w:t>
      </w:r>
    </w:p>
    <w:bookmarkEnd w:id="56"/>
    <w:bookmarkStart w:id="57" w:name="br-at-008-audit-evidence-test"/>
    <w:p>
      <w:pPr>
        <w:pStyle w:val="Heading3"/>
      </w:pPr>
      <w:r>
        <w:t xml:space="preserve">BR-AT-008: Audit Evidence Test</w:t>
      </w:r>
    </w:p>
    <w:p>
      <w:pPr>
        <w:pStyle w:val="FirstParagraph"/>
      </w:pPr>
      <w:r>
        <w:t xml:space="preserve">Validate that required event types and fields are present or mappable to the Bronze audit schema.</w:t>
      </w:r>
    </w:p>
    <w:bookmarkEnd w:id="57"/>
    <w:bookmarkStart w:id="58" w:name="br-at-009-performance-test"/>
    <w:p>
      <w:pPr>
        <w:pStyle w:val="Heading3"/>
      </w:pPr>
      <w:r>
        <w:t xml:space="preserve">BR-AT-009: Performance Test</w:t>
      </w:r>
    </w:p>
    <w:p>
      <w:pPr>
        <w:pStyle w:val="FirstParagraph"/>
      </w:pPr>
      <w:r>
        <w:t xml:space="preserve">Validate that the deployment meets the applicable p95 added-latency threshold under the documented test profile.</w:t>
      </w:r>
    </w:p>
    <w:bookmarkEnd w:id="58"/>
    <w:bookmarkStart w:id="59" w:name="br-at-010-evidence-bundle-completeness"/>
    <w:p>
      <w:pPr>
        <w:pStyle w:val="Heading3"/>
      </w:pPr>
      <w:r>
        <w:t xml:space="preserve">BR-AT-010: Evidence Bundle Completeness</w:t>
      </w:r>
    </w:p>
    <w:p>
      <w:pPr>
        <w:pStyle w:val="FirstParagraph"/>
      </w:pPr>
      <w:r>
        <w:t xml:space="preserve">Validate that the evidence bundle contains all required artifacts and records known limitations.</w:t>
      </w:r>
    </w:p>
    <w:bookmarkEnd w:id="59"/>
    <w:bookmarkStart w:id="60" w:name="br-at-011-ownership-and-runbook-test"/>
    <w:p>
      <w:pPr>
        <w:pStyle w:val="Heading3"/>
      </w:pPr>
      <w:r>
        <w:t xml:space="preserve">BR-AT-011: Ownership and Runbook Test</w:t>
      </w:r>
    </w:p>
    <w:p>
      <w:pPr>
        <w:pStyle w:val="FirstParagraph"/>
      </w:pPr>
      <w:r>
        <w:t xml:space="preserve">Validate that ownership, emergency authority, and runbook evidence are present.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native-bronze-preview-profile"/>
    <w:p>
      <w:pPr>
        <w:pStyle w:val="Heading2"/>
      </w:pPr>
      <w:r>
        <w:t xml:space="preserve">10. Native Bronze Preview Profile</w:t>
      </w:r>
    </w:p>
    <w:p>
      <w:pPr>
        <w:pStyle w:val="FirstParagraph"/>
      </w:pPr>
      <w:r>
        <w:t xml:space="preserve">Native Bronze Preview SHOULD satisfy all Bronze minimum requirements, but may document implementation-specific limitations.</w:t>
      </w:r>
    </w:p>
    <w:p>
      <w:pPr>
        <w:pStyle w:val="BodyText"/>
      </w:pPr>
      <w:r>
        <w:t xml:space="preserve">Native Bronze Preview SHOULD add, at minimum:</w:t>
      </w:r>
    </w:p>
    <w:p>
      <w:pPr>
        <w:pStyle w:val="Compact"/>
        <w:numPr>
          <w:ilvl w:val="0"/>
          <w:numId w:val="1023"/>
        </w:numPr>
      </w:pPr>
      <w:r>
        <w:t xml:space="preserve">more than one upstream route;</w:t>
      </w:r>
    </w:p>
    <w:p>
      <w:pPr>
        <w:pStyle w:val="Compact"/>
        <w:numPr>
          <w:ilvl w:val="0"/>
          <w:numId w:val="1023"/>
        </w:numPr>
      </w:pPr>
      <w:r>
        <w:t xml:space="preserve">policy version/hash history;</w:t>
      </w:r>
    </w:p>
    <w:p>
      <w:pPr>
        <w:pStyle w:val="Compact"/>
        <w:numPr>
          <w:ilvl w:val="0"/>
          <w:numId w:val="1023"/>
        </w:numPr>
      </w:pPr>
      <w:r>
        <w:t xml:space="preserve">basic rollback;</w:t>
      </w:r>
    </w:p>
    <w:p>
      <w:pPr>
        <w:pStyle w:val="Compact"/>
        <w:numPr>
          <w:ilvl w:val="0"/>
          <w:numId w:val="1023"/>
        </w:numPr>
      </w:pPr>
      <w:r>
        <w:t xml:space="preserve">durable audit queue;</w:t>
      </w:r>
    </w:p>
    <w:p>
      <w:pPr>
        <w:pStyle w:val="Compact"/>
        <w:numPr>
          <w:ilvl w:val="0"/>
          <w:numId w:val="1023"/>
        </w:numPr>
      </w:pPr>
      <w:r>
        <w:t xml:space="preserve">demo OIDC identity;</w:t>
      </w:r>
    </w:p>
    <w:p>
      <w:pPr>
        <w:pStyle w:val="Compact"/>
        <w:numPr>
          <w:ilvl w:val="0"/>
          <w:numId w:val="1023"/>
        </w:numPr>
      </w:pPr>
      <w:r>
        <w:t xml:space="preserve">basic OTLP export;</w:t>
      </w:r>
    </w:p>
    <w:p>
      <w:pPr>
        <w:pStyle w:val="Compact"/>
        <w:numPr>
          <w:ilvl w:val="0"/>
          <w:numId w:val="1023"/>
        </w:numPr>
      </w:pPr>
      <w:r>
        <w:t xml:space="preserve">Bronze claim generation.</w:t>
      </w:r>
    </w:p>
    <w:p>
      <w:pPr>
        <w:pStyle w:val="FirstParagraph"/>
      </w:pPr>
      <w:r>
        <w:t xml:space="preserve">Native Bronze Preview MUST NOT claim to be a general enterprise gateway.</w:t>
      </w:r>
    </w:p>
    <w:p>
      <w:pPr>
        <w:pStyle w:val="BodyText"/>
      </w:pPr>
      <w:r>
        <w:t xml:space="preserve">Its purpose is to demonstrate that the ProofRail-native implementation line can evolve toward Bronze.</w:t>
      </w:r>
    </w:p>
    <w:p>
      <w:r>
        <w:pict>
          <v:rect style="width:0;height:1.5pt" o:hralign="center" o:hrstd="t" o:hr="t"/>
        </w:pict>
      </w:r>
    </w:p>
    <w:bookmarkEnd w:id="62"/>
    <w:bookmarkStart w:id="63" w:name="composed-bronze-profile"/>
    <w:p>
      <w:pPr>
        <w:pStyle w:val="Heading2"/>
      </w:pPr>
      <w:r>
        <w:t xml:space="preserve">11. Composed Bronze Profile</w:t>
      </w:r>
    </w:p>
    <w:p>
      <w:pPr>
        <w:pStyle w:val="FirstParagraph"/>
      </w:pPr>
      <w:r>
        <w:t xml:space="preserve">Composed Bronze MUST satisfy the same Bronze minimum requirements using existing enterprise or open-source components.</w:t>
      </w:r>
    </w:p>
    <w:p>
      <w:pPr>
        <w:pStyle w:val="BodyText"/>
      </w:pPr>
      <w:r>
        <w:t xml:space="preserve">A Composed Bronze claim MUST identify:</w:t>
      </w:r>
    </w:p>
    <w:p>
      <w:pPr>
        <w:pStyle w:val="Compact"/>
        <w:numPr>
          <w:ilvl w:val="0"/>
          <w:numId w:val="1024"/>
        </w:numPr>
      </w:pPr>
      <w:r>
        <w:t xml:space="preserve">enforcement substrate;</w:t>
      </w:r>
    </w:p>
    <w:p>
      <w:pPr>
        <w:pStyle w:val="Compact"/>
        <w:numPr>
          <w:ilvl w:val="0"/>
          <w:numId w:val="1024"/>
        </w:numPr>
      </w:pPr>
      <w:r>
        <w:t xml:space="preserve">identity substrate;</w:t>
      </w:r>
    </w:p>
    <w:p>
      <w:pPr>
        <w:pStyle w:val="Compact"/>
        <w:numPr>
          <w:ilvl w:val="0"/>
          <w:numId w:val="1024"/>
        </w:numPr>
      </w:pPr>
      <w:r>
        <w:t xml:space="preserve">policy substrate;</w:t>
      </w:r>
    </w:p>
    <w:p>
      <w:pPr>
        <w:pStyle w:val="Compact"/>
        <w:numPr>
          <w:ilvl w:val="0"/>
          <w:numId w:val="1024"/>
        </w:numPr>
      </w:pPr>
      <w:r>
        <w:t xml:space="preserve">audit/logging substrate;</w:t>
      </w:r>
    </w:p>
    <w:p>
      <w:pPr>
        <w:pStyle w:val="Compact"/>
        <w:numPr>
          <w:ilvl w:val="0"/>
          <w:numId w:val="1024"/>
        </w:numPr>
      </w:pPr>
      <w:r>
        <w:t xml:space="preserve">observability substrate, where applicable;</w:t>
      </w:r>
    </w:p>
    <w:p>
      <w:pPr>
        <w:pStyle w:val="Compact"/>
        <w:numPr>
          <w:ilvl w:val="0"/>
          <w:numId w:val="1024"/>
        </w:numPr>
      </w:pPr>
      <w:r>
        <w:t xml:space="preserve">protected actuator substrate;</w:t>
      </w:r>
    </w:p>
    <w:p>
      <w:pPr>
        <w:pStyle w:val="Compact"/>
        <w:numPr>
          <w:ilvl w:val="0"/>
          <w:numId w:val="1024"/>
        </w:numPr>
      </w:pPr>
      <w:r>
        <w:t xml:space="preserve">ProofRail evidence harness.</w:t>
      </w:r>
    </w:p>
    <w:p>
      <w:pPr>
        <w:pStyle w:val="FirstParagraph"/>
      </w:pPr>
      <w:r>
        <w:t xml:space="preserve">Composed Bronze MUST NOT rely on vendor marketing claims as evidence.</w:t>
      </w:r>
    </w:p>
    <w:p>
      <w:pPr>
        <w:pStyle w:val="BodyText"/>
      </w:pPr>
      <w:r>
        <w:t xml:space="preserve">Evidence MUST come from deployed configuration, tests, logs, mappings, or artifacts.</w:t>
      </w:r>
    </w:p>
    <w:p>
      <w:pPr>
        <w:pStyle w:val="BodyText"/>
      </w:pPr>
      <w:r>
        <w:t xml:space="preserve">Composed Bronze SHOULD be demonstrated against at least two substrates over time to prove portability.</w:t>
      </w:r>
    </w:p>
    <w:p>
      <w:r>
        <w:pict>
          <v:rect style="width:0;height:1.5pt" o:hralign="center" o:hrstd="t" o:hr="t"/>
        </w:pict>
      </w:r>
    </w:p>
    <w:bookmarkEnd w:id="63"/>
    <w:bookmarkStart w:id="64" w:name="bronze-non-goals"/>
    <w:p>
      <w:pPr>
        <w:pStyle w:val="Heading2"/>
      </w:pPr>
      <w:r>
        <w:t xml:space="preserve">12. Bronze Non-Goals</w:t>
      </w:r>
    </w:p>
    <w:p>
      <w:pPr>
        <w:pStyle w:val="FirstParagraph"/>
      </w:pPr>
      <w:r>
        <w:t xml:space="preserve">Bronze does not require:</w:t>
      </w:r>
    </w:p>
    <w:p>
      <w:pPr>
        <w:pStyle w:val="Compact"/>
        <w:numPr>
          <w:ilvl w:val="0"/>
          <w:numId w:val="1025"/>
        </w:numPr>
      </w:pPr>
      <w:r>
        <w:t xml:space="preserve">global federation;</w:t>
      </w:r>
    </w:p>
    <w:p>
      <w:pPr>
        <w:pStyle w:val="Compact"/>
        <w:numPr>
          <w:ilvl w:val="0"/>
          <w:numId w:val="1025"/>
        </w:numPr>
      </w:pPr>
      <w:r>
        <w:t xml:space="preserve">cross-organization proof exchange;</w:t>
      </w:r>
    </w:p>
    <w:p>
      <w:pPr>
        <w:pStyle w:val="Compact"/>
        <w:numPr>
          <w:ilvl w:val="0"/>
          <w:numId w:val="1025"/>
        </w:numPr>
      </w:pPr>
      <w:r>
        <w:t xml:space="preserve">universal agent identity;</w:t>
      </w:r>
    </w:p>
    <w:p>
      <w:pPr>
        <w:pStyle w:val="Compact"/>
        <w:numPr>
          <w:ilvl w:val="0"/>
          <w:numId w:val="1025"/>
        </w:numPr>
      </w:pPr>
      <w:r>
        <w:t xml:space="preserve">regulator-operated infrastructure;</w:t>
      </w:r>
    </w:p>
    <w:p>
      <w:pPr>
        <w:pStyle w:val="Compact"/>
        <w:numPr>
          <w:ilvl w:val="0"/>
          <w:numId w:val="1025"/>
        </w:numPr>
      </w:pPr>
      <w:r>
        <w:t xml:space="preserve">ecosystem-wide kill switches;</w:t>
      </w:r>
    </w:p>
    <w:p>
      <w:pPr>
        <w:pStyle w:val="Compact"/>
        <w:numPr>
          <w:ilvl w:val="0"/>
          <w:numId w:val="1025"/>
        </w:numPr>
      </w:pPr>
      <w:r>
        <w:t xml:space="preserve">formal certification authority;</w:t>
      </w:r>
    </w:p>
    <w:p>
      <w:pPr>
        <w:pStyle w:val="Compact"/>
        <w:numPr>
          <w:ilvl w:val="0"/>
          <w:numId w:val="1025"/>
        </w:numPr>
      </w:pPr>
      <w:r>
        <w:t xml:space="preserve">complete semantic policy verification;</w:t>
      </w:r>
    </w:p>
    <w:p>
      <w:pPr>
        <w:pStyle w:val="Compact"/>
        <w:numPr>
          <w:ilvl w:val="0"/>
          <w:numId w:val="1025"/>
        </w:numPr>
      </w:pPr>
      <w:r>
        <w:t xml:space="preserve">full replacement of enterprise gateways or SIEMs.</w:t>
      </w:r>
    </w:p>
    <w:p>
      <w:pPr>
        <w:pStyle w:val="FirstParagraph"/>
      </w:pPr>
      <w:r>
        <w:t xml:space="preserve">Bronze is an enterprise-local evidence profile.</w:t>
      </w:r>
    </w:p>
    <w:p>
      <w:r>
        <w:pict>
          <v:rect style="width:0;height:1.5pt" o:hralign="center" o:hrstd="t" o:hr="t"/>
        </w:pict>
      </w:r>
    </w:p>
    <w:bookmarkEnd w:id="64"/>
    <w:bookmarkStart w:id="65" w:name="bronze-anti-patterns"/>
    <w:p>
      <w:pPr>
        <w:pStyle w:val="Heading2"/>
      </w:pPr>
      <w:r>
        <w:t xml:space="preserve">13. Bronze Anti-Patterns</w:t>
      </w:r>
    </w:p>
    <w:p>
      <w:pPr>
        <w:pStyle w:val="FirstParagraph"/>
      </w:pPr>
      <w:r>
        <w:t xml:space="preserve">The following should disqualify or weaken a Bronze claim:</w:t>
      </w:r>
    </w:p>
    <w:p>
      <w:pPr>
        <w:pStyle w:val="Compact"/>
        <w:numPr>
          <w:ilvl w:val="0"/>
          <w:numId w:val="1026"/>
        </w:numPr>
      </w:pPr>
      <w:r>
        <w:t xml:space="preserve">no protected actuator set;</w:t>
      </w:r>
    </w:p>
    <w:p>
      <w:pPr>
        <w:pStyle w:val="Compact"/>
        <w:numPr>
          <w:ilvl w:val="0"/>
          <w:numId w:val="1026"/>
        </w:numPr>
      </w:pPr>
      <w:r>
        <w:t xml:space="preserve">no bypass-prevention evidence;</w:t>
      </w:r>
    </w:p>
    <w:p>
      <w:pPr>
        <w:pStyle w:val="Compact"/>
        <w:numPr>
          <w:ilvl w:val="0"/>
          <w:numId w:val="1026"/>
        </w:numPr>
      </w:pPr>
      <w:r>
        <w:t xml:space="preserve">agent has direct upstream credentials;</w:t>
      </w:r>
    </w:p>
    <w:p>
      <w:pPr>
        <w:pStyle w:val="Compact"/>
        <w:numPr>
          <w:ilvl w:val="0"/>
          <w:numId w:val="1026"/>
        </w:numPr>
      </w:pPr>
      <w:r>
        <w:t xml:space="preserve">agent has unmediated upstream access;</w:t>
      </w:r>
    </w:p>
    <w:p>
      <w:pPr>
        <w:pStyle w:val="Compact"/>
        <w:numPr>
          <w:ilvl w:val="0"/>
          <w:numId w:val="1026"/>
        </w:numPr>
      </w:pPr>
      <w:r>
        <w:t xml:space="preserve">gateway logs are treated as equivalent to control;</w:t>
      </w:r>
    </w:p>
    <w:p>
      <w:pPr>
        <w:pStyle w:val="Compact"/>
        <w:numPr>
          <w:ilvl w:val="0"/>
          <w:numId w:val="1026"/>
        </w:numPr>
      </w:pPr>
      <w:r>
        <w:t xml:space="preserve">emergency stop is untested;</w:t>
      </w:r>
    </w:p>
    <w:p>
      <w:pPr>
        <w:pStyle w:val="Compact"/>
        <w:numPr>
          <w:ilvl w:val="0"/>
          <w:numId w:val="1026"/>
        </w:numPr>
      </w:pPr>
      <w:r>
        <w:t xml:space="preserve">rate limiting or circuit breaker behavior is absent;</w:t>
      </w:r>
    </w:p>
    <w:p>
      <w:pPr>
        <w:pStyle w:val="Compact"/>
        <w:numPr>
          <w:ilvl w:val="0"/>
          <w:numId w:val="1026"/>
        </w:numPr>
      </w:pPr>
      <w:r>
        <w:t xml:space="preserve">audit records cannot be correlated by agent, action, target, decision, and correlation ID;</w:t>
      </w:r>
    </w:p>
    <w:p>
      <w:pPr>
        <w:pStyle w:val="Compact"/>
        <w:numPr>
          <w:ilvl w:val="0"/>
          <w:numId w:val="1026"/>
        </w:numPr>
      </w:pPr>
      <w:r>
        <w:t xml:space="preserve">ownership and runbook are undefined;</w:t>
      </w:r>
    </w:p>
    <w:p>
      <w:pPr>
        <w:pStyle w:val="Compact"/>
        <w:numPr>
          <w:ilvl w:val="0"/>
          <w:numId w:val="1026"/>
        </w:numPr>
      </w:pPr>
      <w:r>
        <w:t xml:space="preserve">the claim relies on vendor marketing instead of deployment evidence;</w:t>
      </w:r>
    </w:p>
    <w:p>
      <w:pPr>
        <w:pStyle w:val="Compact"/>
        <w:numPr>
          <w:ilvl w:val="0"/>
          <w:numId w:val="1026"/>
        </w:numPr>
      </w:pPr>
      <w:r>
        <w:t xml:space="preserve">prompt/content guardrails are treated as sufficient actuation control;</w:t>
      </w:r>
    </w:p>
    <w:p>
      <w:pPr>
        <w:pStyle w:val="Compact"/>
        <w:numPr>
          <w:ilvl w:val="0"/>
          <w:numId w:val="1026"/>
        </w:numPr>
      </w:pPr>
      <w:r>
        <w:t xml:space="preserve">degradation behavior is ignored.</w:t>
      </w:r>
    </w:p>
    <w:p>
      <w:r>
        <w:pict>
          <v:rect style="width:0;height:1.5pt" o:hralign="center" o:hrstd="t" o:hr="t"/>
        </w:pict>
      </w:r>
    </w:p>
    <w:bookmarkEnd w:id="65"/>
    <w:bookmarkStart w:id="66" w:name="open-issues"/>
    <w:p>
      <w:pPr>
        <w:pStyle w:val="Heading2"/>
      </w:pPr>
      <w:r>
        <w:t xml:space="preserve">14. Open Issues</w:t>
      </w:r>
    </w:p>
    <w:p>
      <w:pPr>
        <w:pStyle w:val="FirstParagraph"/>
      </w:pPr>
      <w:r>
        <w:t xml:space="preserve">The following questions remain open for future Bronze drafts:</w:t>
      </w:r>
    </w:p>
    <w:p>
      <w:pPr>
        <w:pStyle w:val="Compact"/>
        <w:numPr>
          <w:ilvl w:val="0"/>
          <w:numId w:val="1027"/>
        </w:numPr>
      </w:pPr>
      <w:r>
        <w:t xml:space="preserve">Should the default Bronze performance threshold remain p95 added latency ≤ 100 ms, or should Bronze inherit the Iron-plus ≤ 50 ms threshold?</w:t>
      </w:r>
    </w:p>
    <w:p>
      <w:pPr>
        <w:pStyle w:val="Compact"/>
        <w:numPr>
          <w:ilvl w:val="0"/>
          <w:numId w:val="1027"/>
        </w:numPr>
      </w:pPr>
      <w:r>
        <w:t xml:space="preserve">Should audit integrity be mandatory, or is a documented equivalent sufficient?</w:t>
      </w:r>
    </w:p>
    <w:p>
      <w:pPr>
        <w:pStyle w:val="Compact"/>
        <w:numPr>
          <w:ilvl w:val="0"/>
          <w:numId w:val="1027"/>
        </w:numPr>
      </w:pPr>
      <w:r>
        <w:t xml:space="preserve">Should enterprise IdP integration be required for full Bronze, or can identity-confidence handling remain acceptable?</w:t>
      </w:r>
    </w:p>
    <w:p>
      <w:pPr>
        <w:pStyle w:val="Compact"/>
        <w:numPr>
          <w:ilvl w:val="0"/>
          <w:numId w:val="1027"/>
        </w:numPr>
      </w:pPr>
      <w:r>
        <w:t xml:space="preserve">Should Bronze require both rate limiting and circuit breaker behavior, or at least one of the two?</w:t>
      </w:r>
    </w:p>
    <w:p>
      <w:pPr>
        <w:pStyle w:val="Compact"/>
        <w:numPr>
          <w:ilvl w:val="0"/>
          <w:numId w:val="1027"/>
        </w:numPr>
      </w:pPr>
      <w:r>
        <w:t xml:space="preserve">Should Composed Bronze require two substrates before claiming portability?</w:t>
      </w:r>
    </w:p>
    <w:p>
      <w:pPr>
        <w:pStyle w:val="Compact"/>
        <w:numPr>
          <w:ilvl w:val="0"/>
          <w:numId w:val="1027"/>
        </w:numPr>
      </w:pPr>
      <w:r>
        <w:t xml:space="preserve">Should ProofRail define separate statuses for Bronze Preview, Bronze Draft, and Bronze Conformant?</w:t>
      </w:r>
    </w:p>
    <w:p>
      <w:pPr>
        <w:pStyle w:val="Compact"/>
        <w:numPr>
          <w:ilvl w:val="0"/>
          <w:numId w:val="1027"/>
        </w:numPr>
      </w:pPr>
      <w:r>
        <w:t xml:space="preserve">What is the minimum evidence required when the enforcement substrate is a commercial SaaS gateway?</w:t>
      </w:r>
    </w:p>
    <w:p>
      <w:pPr>
        <w:pStyle w:val="Compact"/>
        <w:numPr>
          <w:ilvl w:val="0"/>
          <w:numId w:val="1027"/>
        </w:numPr>
      </w:pPr>
      <w:r>
        <w:t xml:space="preserve">How should ProofRail represent vendor-specific policy semantics without endorsing one vendor’s terminology?</w:t>
      </w:r>
    </w:p>
    <w:p>
      <w:r>
        <w:pict>
          <v:rect style="width:0;height:1.5pt" o:hralign="center" o:hrstd="t" o:hr="t"/>
        </w:pict>
      </w:r>
    </w:p>
    <w:bookmarkEnd w:id="66"/>
    <w:bookmarkStart w:id="67" w:name="draft-bronze-claim-statement"/>
    <w:p>
      <w:pPr>
        <w:pStyle w:val="Heading2"/>
      </w:pPr>
      <w:r>
        <w:t xml:space="preserve">15. Draft Bronze Claim Statement</w:t>
      </w:r>
    </w:p>
    <w:p>
      <w:pPr>
        <w:pStyle w:val="FirstParagraph"/>
      </w:pPr>
      <w:r>
        <w:t xml:space="preserve">A successful Bronze deployment should be able to state:</w:t>
      </w:r>
    </w:p>
    <w:p>
      <w:pPr>
        <w:pStyle w:val="BlockText"/>
      </w:pPr>
      <w:r>
        <w:t xml:space="preserve">This deployment is ProofRail Bronze-conformant because protected actuators are declared and hashed; agent access is mediated through declared control surfaces; agent identity or identity-confidence handling is documented; policy decisions are enforced and audited; rate-limit or circuit-breaker behavior constrains velocity; emergency stop is tested; bypass-prevention evidence shows agents cannot reach upstream actuators or credentials directly; audit evidence is normalized and retained; performance is measured; and ownership and runbooks are defined.</w:t>
      </w:r>
    </w:p>
    <w:p>
      <w:r>
        <w:pict>
          <v:rect style="width:0;height:1.5pt" o:hralign="center" o:hrstd="t" o:hr="t"/>
        </w:pict>
      </w:r>
    </w:p>
    <w:bookmarkEnd w:id="67"/>
    <w:bookmarkStart w:id="68" w:name="next-steps"/>
    <w:p>
      <w:pPr>
        <w:pStyle w:val="Heading2"/>
      </w:pPr>
      <w:r>
        <w:t xml:space="preserve">16. Next Steps</w:t>
      </w:r>
    </w:p>
    <w:p>
      <w:pPr>
        <w:numPr>
          <w:ilvl w:val="0"/>
          <w:numId w:val="102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BRONZE_CLAIM_SCHEMA_DRAFT.yaml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Create example claim YAML files for:</w:t>
      </w:r>
    </w:p>
    <w:p>
      <w:pPr>
        <w:pStyle w:val="Compact"/>
        <w:numPr>
          <w:ilvl w:val="1"/>
          <w:numId w:val="1029"/>
        </w:numPr>
      </w:pPr>
      <w:r>
        <w:t xml:space="preserve">Native Bronze Preview;</w:t>
      </w:r>
    </w:p>
    <w:p>
      <w:pPr>
        <w:pStyle w:val="Compact"/>
        <w:numPr>
          <w:ilvl w:val="1"/>
          <w:numId w:val="1029"/>
        </w:numPr>
      </w:pPr>
      <w:r>
        <w:t xml:space="preserve">ContextForge profile;</w:t>
      </w:r>
    </w:p>
    <w:p>
      <w:pPr>
        <w:pStyle w:val="Compact"/>
        <w:numPr>
          <w:ilvl w:val="1"/>
          <w:numId w:val="1029"/>
        </w:numPr>
      </w:pPr>
      <w:r>
        <w:t xml:space="preserve">Lasso MCP Gateway profile;</w:t>
      </w:r>
    </w:p>
    <w:p>
      <w:pPr>
        <w:pStyle w:val="Compact"/>
        <w:numPr>
          <w:ilvl w:val="1"/>
          <w:numId w:val="1029"/>
        </w:numPr>
      </w:pPr>
      <w:r>
        <w:t xml:space="preserve">Kong profile.</w:t>
      </w:r>
    </w:p>
    <w:p>
      <w:pPr>
        <w:numPr>
          <w:ilvl w:val="0"/>
          <w:numId w:val="1028"/>
        </w:numPr>
      </w:pPr>
      <w:r>
        <w:t xml:space="preserve">Build a simple validator for required Bronze claim fields.</w:t>
      </w:r>
    </w:p>
    <w:p>
      <w:pPr>
        <w:numPr>
          <w:ilvl w:val="0"/>
          <w:numId w:val="1028"/>
        </w:numPr>
      </w:pPr>
      <w:r>
        <w:t xml:space="preserve">Select first open-source composed Bronze substrate.</w:t>
      </w:r>
    </w:p>
    <w:p>
      <w:pPr>
        <w:numPr>
          <w:ilvl w:val="0"/>
          <w:numId w:val="1028"/>
        </w:numPr>
      </w:pPr>
      <w:r>
        <w:t xml:space="preserve">Build minimal composed Bronze evidence harness.</w:t>
      </w:r>
    </w:p>
    <w:p>
      <w:pPr>
        <w:numPr>
          <w:ilvl w:val="0"/>
          <w:numId w:val="1028"/>
        </w:numPr>
      </w:pPr>
      <w:r>
        <w:t xml:space="preserve">Generate first Bronze demo evidence bundle.</w:t>
      </w:r>
    </w:p>
    <w:p>
      <w:pPr>
        <w:numPr>
          <w:ilvl w:val="0"/>
          <w:numId w:val="1028"/>
        </w:numPr>
      </w:pPr>
      <w:r>
        <w:t xml:space="preserve">Use lessons learned to update this profile draft to v0.2.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2026-06-01T20:56:11Z</dcterms:created>
  <dcterms:modified xsi:type="dcterms:W3CDTF">2026-06-01T20:56:11Z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