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6AE5" w14:textId="77777777" w:rsidR="00B57429" w:rsidRDefault="00296267">
      <w:pPr>
        <w:pStyle w:val="Title"/>
        <w:jc w:val="center"/>
      </w:pPr>
      <w:r>
        <w:t>ProofRail™ Bronze Strategy Note</w:t>
      </w:r>
    </w:p>
    <w:p w14:paraId="01F0A159" w14:textId="343DE4CC" w:rsidR="00B57429" w:rsidRDefault="00296267">
      <w:r>
        <w:t>Status: Working Draft</w:t>
      </w:r>
      <w:r>
        <w:br/>
        <w:t>Date: 2026-06-01</w:t>
      </w:r>
      <w:r>
        <w:br/>
        <w:t>Version: v0.</w:t>
      </w:r>
      <w:r w:rsidR="00453922">
        <w:t>4</w:t>
      </w:r>
      <w:r>
        <w:br/>
        <w:t>Baseline: ProofRail</w:t>
      </w:r>
      <w:r w:rsidR="001F794B">
        <w:t xml:space="preserve">™ </w:t>
      </w:r>
      <w:r w:rsidR="00951FEE">
        <w:t>Iron-plus</w:t>
      </w:r>
      <w:r>
        <w:t xml:space="preserve"> v1.0.2-final</w:t>
      </w:r>
      <w:r>
        <w:br/>
        <w:t xml:space="preserve">Reference profile: </w:t>
      </w:r>
      <w:r w:rsidR="00951FEE">
        <w:t>Iron-plus</w:t>
      </w:r>
      <w:r>
        <w:t xml:space="preserve"> v0.1.5</w:t>
      </w:r>
      <w:r>
        <w:br/>
        <w:t xml:space="preserve">Purpose: Define the strategic path from </w:t>
      </w:r>
      <w:r w:rsidR="00951FEE">
        <w:t>Iron-plus</w:t>
      </w:r>
      <w:r>
        <w:t xml:space="preserve"> to Bronze, distinguishing between a ProofRail-native Bronze Preview implementation path and a composed Bronze stack using existing gateway, identity, observability, and security components.</w:t>
      </w:r>
    </w:p>
    <w:p w14:paraId="199AC937" w14:textId="77777777" w:rsidR="00B57429" w:rsidRDefault="00296267">
      <w:pPr>
        <w:pStyle w:val="Heading1"/>
      </w:pPr>
      <w:r>
        <w:rPr>
          <w:b w:val="0"/>
        </w:rPr>
        <w:t>1. Executive Summary</w:t>
      </w:r>
    </w:p>
    <w:p w14:paraId="6226141E" w14:textId="7487CBB4" w:rsidR="00B57429" w:rsidRDefault="00296267">
      <w:r>
        <w:t>ProofRail</w:t>
      </w:r>
      <w:r w:rsidR="001F794B">
        <w:t xml:space="preserve">™ </w:t>
      </w:r>
      <w:r w:rsidR="00951FEE">
        <w:t>Iron-plus</w:t>
      </w:r>
      <w:r>
        <w:t xml:space="preserve"> v1.0.2-final establishes a credible live reference baseline for enforceable, auditable MCP actuation control. </w:t>
      </w:r>
      <w:r w:rsidR="00951FEE">
        <w:t>Iron-plus</w:t>
      </w:r>
      <w:r>
        <w:t xml:space="preserve"> demonstrates that: 1) a declared protected actuator set can be mediated through a control point, 2) risky tool calls can be blocked, 3) bypass prevention can be tested, 4) audit events can be emitted to multiple sinks, and 5) the control path can meet the </w:t>
      </w:r>
      <w:r w:rsidR="00951FEE">
        <w:t>Iron-plus</w:t>
      </w:r>
      <w:r>
        <w:t xml:space="preserve"> performance target.</w:t>
      </w:r>
    </w:p>
    <w:p w14:paraId="69DEA8FC" w14:textId="77777777" w:rsidR="00B57429" w:rsidRDefault="00296267">
      <w:r>
        <w:t>Bronze, as the next tier, should answer a broader question:</w:t>
      </w:r>
    </w:p>
    <w:p w14:paraId="1E05CB3A" w14:textId="77777777" w:rsidR="00B57429" w:rsidRDefault="00296267">
      <w:pPr>
        <w:spacing w:before="80" w:after="80"/>
        <w:ind w:left="360" w:right="360"/>
      </w:pPr>
      <w:r>
        <w:rPr>
          <w:i/>
        </w:rPr>
        <w:t>Can ProofRail move from a live single-reference implementation to a credible enterprise agent-control pattern?</w:t>
      </w:r>
    </w:p>
    <w:p w14:paraId="5F523753" w14:textId="77777777" w:rsidR="00B57429" w:rsidRDefault="00296267">
      <w:r>
        <w:t>This note defines two Bronze tracks:</w:t>
      </w:r>
    </w:p>
    <w:p w14:paraId="70216163" w14:textId="1A3986B2" w:rsidR="00B57429" w:rsidRDefault="00296267" w:rsidP="00FC3903">
      <w:pPr>
        <w:tabs>
          <w:tab w:val="left" w:pos="360"/>
        </w:tabs>
        <w:ind w:left="360" w:hanging="360"/>
      </w:pPr>
      <w:r>
        <w:t>1.</w:t>
      </w:r>
      <w:r w:rsidR="00FC3903">
        <w:tab/>
      </w:r>
      <w:r>
        <w:t xml:space="preserve">Native Bronze Preview - an incremental extension of the </w:t>
      </w:r>
      <w:r w:rsidR="00951FEE">
        <w:t>Iron-plus</w:t>
      </w:r>
      <w:r>
        <w:t xml:space="preserve"> implementation baseline</w:t>
      </w:r>
      <w:r w:rsidR="006F6808">
        <w:t xml:space="preserve"> that implements</w:t>
      </w:r>
      <w:r w:rsidR="00E10B2A">
        <w:t xml:space="preserve"> core </w:t>
      </w:r>
      <w:r w:rsidR="006F6808">
        <w:t xml:space="preserve">Bronze </w:t>
      </w:r>
      <w:r w:rsidR="00E10B2A">
        <w:t>primitives.</w:t>
      </w:r>
    </w:p>
    <w:p w14:paraId="4BA204EE" w14:textId="68240528" w:rsidR="00B57429" w:rsidRDefault="00296267" w:rsidP="00FC3903">
      <w:pPr>
        <w:tabs>
          <w:tab w:val="left" w:pos="360"/>
        </w:tabs>
        <w:ind w:left="360" w:hanging="360"/>
      </w:pPr>
      <w:r>
        <w:t>2.</w:t>
      </w:r>
      <w:r w:rsidR="00FC3903">
        <w:tab/>
      </w:r>
      <w:r>
        <w:t>Composed Bronze - a vendor-neutral, enterprise-oriented stack showing how ProofRail conformance can be achieved using existing gateways and infrastructure.</w:t>
      </w:r>
    </w:p>
    <w:p w14:paraId="21A402F1" w14:textId="77777777" w:rsidR="00B57429" w:rsidRDefault="00296267">
      <w:r>
        <w:t>The declared strategy is to pursue both tracks, but to treat them differently:</w:t>
      </w:r>
    </w:p>
    <w:p w14:paraId="2C11A148" w14:textId="77777777" w:rsidR="00B57429" w:rsidRDefault="00296267">
      <w:pPr>
        <w:pStyle w:val="ListBullet"/>
      </w:pPr>
      <w:r>
        <w:t>Native Bronze Preview continues the engineering reference path.</w:t>
      </w:r>
    </w:p>
    <w:p w14:paraId="3B6516CE" w14:textId="77777777" w:rsidR="00B57429" w:rsidRDefault="00296267">
      <w:pPr>
        <w:pStyle w:val="ListBullet"/>
      </w:pPr>
      <w:r>
        <w:t>Composed Bronze demonstrates the market-facing and standards/conformance path.</w:t>
      </w:r>
    </w:p>
    <w:p w14:paraId="3028B9E6" w14:textId="77777777" w:rsidR="00B57429" w:rsidRDefault="00296267">
      <w:r>
        <w:t>The central Bronze thesis is:</w:t>
      </w:r>
    </w:p>
    <w:p w14:paraId="257076F6" w14:textId="0E8F60D5" w:rsidR="00B57429" w:rsidRDefault="00296267">
      <w:pPr>
        <w:spacing w:before="80" w:after="80"/>
        <w:ind w:left="360" w:right="360"/>
      </w:pPr>
      <w:r>
        <w:rPr>
          <w:i/>
        </w:rPr>
        <w:t xml:space="preserve">ProofRail Bronze is not a gateway. It is a cross-stack control claim: protected agent actuation is declared, mediated, rate-limited, stoppable, bypass-tested, and auditable, whether the enforcement substrate is ProofRail-native, Kong, Lasso, ContextForge, </w:t>
      </w:r>
      <w:r w:rsidR="000C0B23">
        <w:rPr>
          <w:i/>
        </w:rPr>
        <w:t xml:space="preserve">Linux Foundation </w:t>
      </w:r>
      <w:r>
        <w:rPr>
          <w:i/>
        </w:rPr>
        <w:t>agentgateway, or a future enterprise gateway.</w:t>
      </w:r>
    </w:p>
    <w:p w14:paraId="66907D01" w14:textId="77777777" w:rsidR="00B57429" w:rsidRDefault="00296267">
      <w:pPr>
        <w:pStyle w:val="Heading1"/>
      </w:pPr>
      <w:r>
        <w:rPr>
          <w:b w:val="0"/>
        </w:rPr>
        <w:t>2. Why Pursue Bronze Now?</w:t>
      </w:r>
    </w:p>
    <w:p w14:paraId="50186DB3" w14:textId="452BDF53" w:rsidR="00B57429" w:rsidRDefault="00296267">
      <w:r>
        <w:t xml:space="preserve">The market has begun to validate the ProofRail premise. Vendors are moving quickly into </w:t>
      </w:r>
      <w:r w:rsidR="000C0B23">
        <w:t>features beyond basic Iron-level functions but short of federation</w:t>
      </w:r>
      <w:r>
        <w:t>: AI gateways, MCP gateways, A2A traffic control, agent identity, runtime protection, policy enforcement, audit logging, and AI security monitoring are becoming productized.</w:t>
      </w:r>
    </w:p>
    <w:p w14:paraId="543539CD" w14:textId="77777777" w:rsidR="00B57429" w:rsidRDefault="00296267">
      <w:r>
        <w:t>ProofRail’s near-term opportunity must evolve accordingly.</w:t>
      </w:r>
    </w:p>
    <w:p w14:paraId="18F75C25" w14:textId="77777777" w:rsidR="00B57429" w:rsidRDefault="00296267">
      <w:r>
        <w:lastRenderedPageBreak/>
        <w:t>ProofRail should not compete with established enterprise gateways based on features. Instead, ProofRail should define what must be true before an enterprise can credibly claim that agent actuation is under control.</w:t>
      </w:r>
    </w:p>
    <w:p w14:paraId="6496B5C8" w14:textId="77777777" w:rsidR="00B57429" w:rsidRDefault="00296267">
      <w:r>
        <w:t>So, for Bronze, the question is not:</w:t>
      </w:r>
    </w:p>
    <w:p w14:paraId="04C8984B" w14:textId="77777777" w:rsidR="00B57429" w:rsidRDefault="00296267">
      <w:pPr>
        <w:spacing w:before="80" w:after="80"/>
        <w:ind w:left="360" w:right="360"/>
      </w:pPr>
      <w:r>
        <w:rPr>
          <w:i/>
        </w:rPr>
        <w:t>Which gateway should we use?</w:t>
      </w:r>
    </w:p>
    <w:p w14:paraId="1E873889" w14:textId="77777777" w:rsidR="00B57429" w:rsidRDefault="00296267">
      <w:r>
        <w:t>Bronze asks:</w:t>
      </w:r>
    </w:p>
    <w:p w14:paraId="44909797" w14:textId="77777777" w:rsidR="00B57429" w:rsidRDefault="00296267">
      <w:pPr>
        <w:spacing w:before="80" w:after="80"/>
        <w:ind w:left="360" w:right="360"/>
      </w:pPr>
      <w:r>
        <w:rPr>
          <w:i/>
        </w:rPr>
        <w:t>Can the enterprise produce a defensible control claim across the stack?</w:t>
      </w:r>
    </w:p>
    <w:p w14:paraId="7A14620E" w14:textId="77777777" w:rsidR="00B57429" w:rsidRDefault="00296267">
      <w:r>
        <w:t>A credible Bronze claim requires evidence that:</w:t>
      </w:r>
    </w:p>
    <w:p w14:paraId="7B02A9FE" w14:textId="77777777" w:rsidR="00B57429" w:rsidRDefault="00296267">
      <w:pPr>
        <w:pStyle w:val="ListBullet"/>
      </w:pPr>
      <w:r>
        <w:t>the protected actuator set is declared and versioned;</w:t>
      </w:r>
    </w:p>
    <w:p w14:paraId="30407FAB" w14:textId="77777777" w:rsidR="00B57429" w:rsidRDefault="00296267">
      <w:pPr>
        <w:pStyle w:val="ListBullet"/>
      </w:pPr>
      <w:r>
        <w:t>agent traffic to protected actuators is mediated;</w:t>
      </w:r>
    </w:p>
    <w:p w14:paraId="356E897B" w14:textId="77777777" w:rsidR="00B57429" w:rsidRDefault="00296267">
      <w:pPr>
        <w:pStyle w:val="ListBullet"/>
      </w:pPr>
      <w:r>
        <w:t>bypass paths are blocked or evidenced;</w:t>
      </w:r>
    </w:p>
    <w:p w14:paraId="6C9CFCA9" w14:textId="77777777" w:rsidR="00B57429" w:rsidRDefault="00296267">
      <w:pPr>
        <w:pStyle w:val="ListBullet"/>
      </w:pPr>
      <w:r>
        <w:t>agent identity is captured at an appropriate confidence level;</w:t>
      </w:r>
    </w:p>
    <w:p w14:paraId="5D95DC73" w14:textId="77777777" w:rsidR="00B57429" w:rsidRDefault="00296267">
      <w:pPr>
        <w:pStyle w:val="ListBullet"/>
      </w:pPr>
      <w:r>
        <w:t>high-risk actions can be blocked, degraded, or stopped;</w:t>
      </w:r>
    </w:p>
    <w:p w14:paraId="593707C2" w14:textId="77777777" w:rsidR="00B57429" w:rsidRDefault="00296267">
      <w:pPr>
        <w:pStyle w:val="ListBullet"/>
      </w:pPr>
      <w:r>
        <w:t>audit events are complete enough for incident response;</w:t>
      </w:r>
    </w:p>
    <w:p w14:paraId="2F319178" w14:textId="77777777" w:rsidR="00B57429" w:rsidRDefault="00296267">
      <w:pPr>
        <w:pStyle w:val="ListBullet"/>
      </w:pPr>
      <w:r>
        <w:t>emergency stop works;</w:t>
      </w:r>
    </w:p>
    <w:p w14:paraId="1BA662F7" w14:textId="77777777" w:rsidR="00B57429" w:rsidRDefault="00296267">
      <w:pPr>
        <w:pStyle w:val="ListBullet"/>
      </w:pPr>
      <w:r>
        <w:t>performance remains within the defined latency budget;</w:t>
      </w:r>
    </w:p>
    <w:p w14:paraId="592F6450" w14:textId="77777777" w:rsidR="00B57429" w:rsidRDefault="00296267">
      <w:pPr>
        <w:pStyle w:val="ListBullet"/>
      </w:pPr>
      <w:r>
        <w:t>the control claim can be reproduced from evidence.</w:t>
      </w:r>
    </w:p>
    <w:p w14:paraId="0A282EF4" w14:textId="5AF75E65" w:rsidR="00B57429" w:rsidRDefault="00951FEE">
      <w:r>
        <w:t>Iron-plus</w:t>
      </w:r>
      <w:r w:rsidR="00296267">
        <w:t xml:space="preserve"> provides the </w:t>
      </w:r>
      <w:r w:rsidR="005421F9">
        <w:t>foundation</w:t>
      </w:r>
      <w:r w:rsidR="00296267">
        <w:t>. Bronze establishes the enterprise pattern.</w:t>
      </w:r>
    </w:p>
    <w:p w14:paraId="429DEA9B" w14:textId="4AB168CF" w:rsidR="00B57429" w:rsidRDefault="00296267">
      <w:pPr>
        <w:pStyle w:val="Heading1"/>
      </w:pPr>
      <w:r>
        <w:rPr>
          <w:b w:val="0"/>
        </w:rPr>
        <w:t xml:space="preserve">3. Baseline: What </w:t>
      </w:r>
      <w:r w:rsidR="00951FEE">
        <w:rPr>
          <w:b w:val="0"/>
        </w:rPr>
        <w:t>Iron-plus</w:t>
      </w:r>
      <w:r>
        <w:rPr>
          <w:b w:val="0"/>
        </w:rPr>
        <w:t xml:space="preserve"> Already Provides</w:t>
      </w:r>
    </w:p>
    <w:p w14:paraId="3F3E1D57" w14:textId="36B77EF3" w:rsidR="00B57429" w:rsidRDefault="00296267">
      <w:r>
        <w:t xml:space="preserve">ProofRail </w:t>
      </w:r>
      <w:r w:rsidR="00951FEE">
        <w:t>Iron-plus</w:t>
      </w:r>
      <w:r>
        <w:t xml:space="preserve"> v1.0.2-final provides the baseline for Bronze elaboration.</w:t>
      </w:r>
    </w:p>
    <w:p w14:paraId="4CF87510" w14:textId="39DF6CD3" w:rsidR="00B57429" w:rsidRDefault="00296267">
      <w:r>
        <w:t xml:space="preserve">Current </w:t>
      </w:r>
      <w:r w:rsidR="00951FEE">
        <w:t>Iron-plus</w:t>
      </w:r>
      <w:r>
        <w:t xml:space="preserve"> capabilities include:</w:t>
      </w:r>
    </w:p>
    <w:p w14:paraId="72AFB436" w14:textId="77777777" w:rsidR="00B57429" w:rsidRDefault="00296267">
      <w:pPr>
        <w:pStyle w:val="ListBullet"/>
      </w:pPr>
      <w:r>
        <w:t>enforce-mode MCP mediation;</w:t>
      </w:r>
    </w:p>
    <w:p w14:paraId="59A16DCF" w14:textId="77777777" w:rsidR="00B57429" w:rsidRDefault="00296267">
      <w:pPr>
        <w:pStyle w:val="ListBullet"/>
      </w:pPr>
      <w:r>
        <w:t>JSON and SSE enforcement parity;</w:t>
      </w:r>
    </w:p>
    <w:p w14:paraId="20FE7126" w14:textId="77777777" w:rsidR="00B57429" w:rsidRDefault="00296267">
      <w:pPr>
        <w:pStyle w:val="ListBullet"/>
      </w:pPr>
      <w:r>
        <w:t>protected actuator set manifest and hash;</w:t>
      </w:r>
    </w:p>
    <w:p w14:paraId="5C477534" w14:textId="77777777" w:rsidR="00B57429" w:rsidRDefault="00296267">
      <w:pPr>
        <w:pStyle w:val="ListBullet"/>
      </w:pPr>
      <w:r>
        <w:t>static allow/block policy;</w:t>
      </w:r>
    </w:p>
    <w:p w14:paraId="3C6820C9" w14:textId="77777777" w:rsidR="00B57429" w:rsidRDefault="00296267">
      <w:pPr>
        <w:pStyle w:val="ListBullet"/>
      </w:pPr>
      <w:r>
        <w:t>risk tier classification;</w:t>
      </w:r>
    </w:p>
    <w:p w14:paraId="01BE9125" w14:textId="77777777" w:rsidR="00B57429" w:rsidRDefault="00296267">
      <w:pPr>
        <w:pStyle w:val="ListBullet"/>
      </w:pPr>
      <w:r>
        <w:t>Tier 2/3 identity confidence gating;</w:t>
      </w:r>
    </w:p>
    <w:p w14:paraId="06D2EEEB" w14:textId="77777777" w:rsidR="00B57429" w:rsidRDefault="00296267">
      <w:pPr>
        <w:pStyle w:val="ListBullet"/>
      </w:pPr>
      <w:r>
        <w:t>per-agent rate limiting;</w:t>
      </w:r>
    </w:p>
    <w:p w14:paraId="652462DF" w14:textId="77777777" w:rsidR="00B57429" w:rsidRDefault="00296267">
      <w:pPr>
        <w:pStyle w:val="ListBullet"/>
      </w:pPr>
      <w:r>
        <w:t>emergency stop and resume;</w:t>
      </w:r>
    </w:p>
    <w:p w14:paraId="3FF1EA02" w14:textId="77777777" w:rsidR="00B57429" w:rsidRDefault="00296267">
      <w:pPr>
        <w:pStyle w:val="ListBullet"/>
      </w:pPr>
      <w:r>
        <w:t>D0/D1 degradation behavior;</w:t>
      </w:r>
    </w:p>
    <w:p w14:paraId="3EAB1396" w14:textId="77777777" w:rsidR="00B57429" w:rsidRDefault="00296267">
      <w:pPr>
        <w:pStyle w:val="ListBullet"/>
      </w:pPr>
      <w:r>
        <w:t>D2 safe mode via operator/API;</w:t>
      </w:r>
    </w:p>
    <w:p w14:paraId="441B388F" w14:textId="77777777" w:rsidR="00B57429" w:rsidRDefault="00296267">
      <w:pPr>
        <w:pStyle w:val="ListBullet"/>
      </w:pPr>
      <w:r>
        <w:t>policy.change audit events;</w:t>
      </w:r>
    </w:p>
    <w:p w14:paraId="6355A255" w14:textId="77777777" w:rsidR="00B57429" w:rsidRDefault="00296267">
      <w:pPr>
        <w:pStyle w:val="ListBullet"/>
      </w:pPr>
      <w:r>
        <w:t>degradation.mode_change audit events;</w:t>
      </w:r>
    </w:p>
    <w:p w14:paraId="674195A8" w14:textId="77777777" w:rsidR="00B57429" w:rsidRDefault="00296267">
      <w:pPr>
        <w:pStyle w:val="ListBullet"/>
      </w:pPr>
      <w:r>
        <w:t>tool_call.attempt, tool_call.decision, and tool_call.result events;</w:t>
      </w:r>
    </w:p>
    <w:p w14:paraId="5A1734C2" w14:textId="77777777" w:rsidR="00B57429" w:rsidRDefault="00296267">
      <w:pPr>
        <w:pStyle w:val="ListBullet"/>
      </w:pPr>
      <w:r>
        <w:t>JSONL and webhook audit sinks;</w:t>
      </w:r>
    </w:p>
    <w:p w14:paraId="474FD170" w14:textId="77777777" w:rsidR="00B57429" w:rsidRDefault="00296267">
      <w:pPr>
        <w:pStyle w:val="ListBullet"/>
      </w:pPr>
      <w:r>
        <w:t>ECS mapping artifact;</w:t>
      </w:r>
    </w:p>
    <w:p w14:paraId="5C22A328" w14:textId="77777777" w:rsidR="00B57429" w:rsidRDefault="00296267">
      <w:pPr>
        <w:pStyle w:val="ListBullet"/>
      </w:pPr>
      <w:r>
        <w:t>tamper-evident audit hash chain;</w:t>
      </w:r>
    </w:p>
    <w:p w14:paraId="37DA1DD5" w14:textId="77777777" w:rsidR="00B57429" w:rsidRDefault="00296267">
      <w:pPr>
        <w:pStyle w:val="ListBullet"/>
      </w:pPr>
      <w:r>
        <w:t>dashboard/control-plane consistency;</w:t>
      </w:r>
    </w:p>
    <w:p w14:paraId="45B74839" w14:textId="77777777" w:rsidR="00B57429" w:rsidRDefault="00296267">
      <w:pPr>
        <w:pStyle w:val="ListBullet"/>
      </w:pPr>
      <w:r>
        <w:t>fresh-clone Docker deployment proof;</w:t>
      </w:r>
    </w:p>
    <w:p w14:paraId="235A965D" w14:textId="77777777" w:rsidR="00B57429" w:rsidRDefault="00296267">
      <w:pPr>
        <w:pStyle w:val="ListBullet"/>
      </w:pPr>
      <w:r>
        <w:t>deployment-level bypass prevention evidence;</w:t>
      </w:r>
    </w:p>
    <w:p w14:paraId="65473796" w14:textId="77777777" w:rsidR="00B57429" w:rsidRDefault="00296267">
      <w:pPr>
        <w:pStyle w:val="ListBullet"/>
      </w:pPr>
      <w:r>
        <w:lastRenderedPageBreak/>
        <w:t>live p95 performance evidence.</w:t>
      </w:r>
    </w:p>
    <w:p w14:paraId="782C7278" w14:textId="0A114507" w:rsidR="00B57429" w:rsidRDefault="00296267">
      <w:r>
        <w:t xml:space="preserve">Bronze does not need to re-prove the basic </w:t>
      </w:r>
      <w:r w:rsidR="00951FEE">
        <w:t>Iron-plus</w:t>
      </w:r>
      <w:r>
        <w:t xml:space="preserve"> actuation-control concept. Bronze can build on it.</w:t>
      </w:r>
    </w:p>
    <w:p w14:paraId="5C3064E5" w14:textId="77777777" w:rsidR="00B57429" w:rsidRDefault="00296267">
      <w:pPr>
        <w:pStyle w:val="Heading1"/>
      </w:pPr>
      <w:r>
        <w:rPr>
          <w:b w:val="0"/>
        </w:rPr>
        <w:t>4. Minimum Viable Bronze Claim</w:t>
      </w:r>
    </w:p>
    <w:p w14:paraId="479B9668" w14:textId="5F668384" w:rsidR="00B57429" w:rsidRDefault="00296267">
      <w:r>
        <w:t xml:space="preserve">A minimum ProofRail Bronze claim should be compact enough to test, but strong enough to distinguish actual </w:t>
      </w:r>
      <w:r w:rsidR="006031CC">
        <w:t xml:space="preserve">agentic </w:t>
      </w:r>
      <w:r>
        <w:t>control from ordinary gateway logging. The following ten elements define the minimum viable Bronze claim.</w:t>
      </w:r>
    </w:p>
    <w:tbl>
      <w:tblPr>
        <w:tblStyle w:val="TableGrid"/>
        <w:tblW w:w="0" w:type="auto"/>
        <w:jc w:val="center"/>
        <w:tblLook w:val="04A0" w:firstRow="1" w:lastRow="0" w:firstColumn="1" w:lastColumn="0" w:noHBand="0" w:noVBand="1"/>
      </w:tblPr>
      <w:tblGrid>
        <w:gridCol w:w="3708"/>
        <w:gridCol w:w="3420"/>
        <w:gridCol w:w="2808"/>
      </w:tblGrid>
      <w:tr w:rsidR="00B57429" w14:paraId="5F69B75B" w14:textId="77777777" w:rsidTr="00C10193">
        <w:trPr>
          <w:jc w:val="center"/>
        </w:trPr>
        <w:tc>
          <w:tcPr>
            <w:tcW w:w="3708" w:type="dxa"/>
            <w:shd w:val="clear" w:color="auto" w:fill="D9EAF7"/>
          </w:tcPr>
          <w:p w14:paraId="36E5FF3B" w14:textId="77777777" w:rsidR="00B57429" w:rsidRDefault="00296267">
            <w:r>
              <w:rPr>
                <w:b/>
              </w:rPr>
              <w:t>Element</w:t>
            </w:r>
          </w:p>
        </w:tc>
        <w:tc>
          <w:tcPr>
            <w:tcW w:w="3420" w:type="dxa"/>
            <w:shd w:val="clear" w:color="auto" w:fill="D9EAF7"/>
          </w:tcPr>
          <w:p w14:paraId="307D400B" w14:textId="77777777" w:rsidR="00B57429" w:rsidRDefault="00296267">
            <w:r>
              <w:rPr>
                <w:b/>
              </w:rPr>
              <w:t>Minimum Bronze Requirement</w:t>
            </w:r>
          </w:p>
        </w:tc>
        <w:tc>
          <w:tcPr>
            <w:tcW w:w="2808" w:type="dxa"/>
            <w:shd w:val="clear" w:color="auto" w:fill="D9EAF7"/>
          </w:tcPr>
          <w:p w14:paraId="500EB605" w14:textId="77777777" w:rsidR="00B57429" w:rsidRDefault="00296267">
            <w:r>
              <w:rPr>
                <w:b/>
              </w:rPr>
              <w:t>Why It Matters</w:t>
            </w:r>
          </w:p>
        </w:tc>
      </w:tr>
      <w:tr w:rsidR="00B57429" w14:paraId="7D07593F" w14:textId="77777777" w:rsidTr="00C10193">
        <w:trPr>
          <w:jc w:val="center"/>
        </w:trPr>
        <w:tc>
          <w:tcPr>
            <w:tcW w:w="3708" w:type="dxa"/>
          </w:tcPr>
          <w:p w14:paraId="75ABFA38" w14:textId="77777777" w:rsidR="00B57429" w:rsidRDefault="00296267">
            <w:r>
              <w:t>1. Protected actuator set</w:t>
            </w:r>
          </w:p>
        </w:tc>
        <w:tc>
          <w:tcPr>
            <w:tcW w:w="3420" w:type="dxa"/>
          </w:tcPr>
          <w:p w14:paraId="61AB2037" w14:textId="77777777" w:rsidR="00B57429" w:rsidRDefault="00296267">
            <w:r>
              <w:t>A declared, versioned, hashable set of tools/actions covered by the claim.</w:t>
            </w:r>
          </w:p>
        </w:tc>
        <w:tc>
          <w:tcPr>
            <w:tcW w:w="2808" w:type="dxa"/>
          </w:tcPr>
          <w:p w14:paraId="7CFFD124" w14:textId="77777777" w:rsidR="00B57429" w:rsidRDefault="00296267">
            <w:r>
              <w:t>Prevents vague claims such as "our agents are governed."</w:t>
            </w:r>
          </w:p>
        </w:tc>
      </w:tr>
      <w:tr w:rsidR="00B57429" w14:paraId="291E1AB0" w14:textId="77777777" w:rsidTr="00C10193">
        <w:trPr>
          <w:jc w:val="center"/>
        </w:trPr>
        <w:tc>
          <w:tcPr>
            <w:tcW w:w="3708" w:type="dxa"/>
          </w:tcPr>
          <w:p w14:paraId="1DF7B9CE" w14:textId="77777777" w:rsidR="00B57429" w:rsidRDefault="00296267">
            <w:r>
              <w:t>2. Declared control surface</w:t>
            </w:r>
          </w:p>
        </w:tc>
        <w:tc>
          <w:tcPr>
            <w:tcW w:w="3420" w:type="dxa"/>
          </w:tcPr>
          <w:p w14:paraId="439FC750" w14:textId="77777777" w:rsidR="00B57429" w:rsidRDefault="00296267">
            <w:r>
              <w:t>The gateway, proxy, service mesh, API gateway, or other mediation point is named and evidenced.</w:t>
            </w:r>
          </w:p>
        </w:tc>
        <w:tc>
          <w:tcPr>
            <w:tcW w:w="2808" w:type="dxa"/>
          </w:tcPr>
          <w:p w14:paraId="63AE19BC" w14:textId="77777777" w:rsidR="00B57429" w:rsidRDefault="00296267">
            <w:r>
              <w:t>Shows where enforcement actually occurs.</w:t>
            </w:r>
          </w:p>
        </w:tc>
      </w:tr>
      <w:tr w:rsidR="00B57429" w14:paraId="64EE960F" w14:textId="77777777" w:rsidTr="00C10193">
        <w:trPr>
          <w:jc w:val="center"/>
        </w:trPr>
        <w:tc>
          <w:tcPr>
            <w:tcW w:w="3708" w:type="dxa"/>
          </w:tcPr>
          <w:p w14:paraId="02F2A02B" w14:textId="77777777" w:rsidR="00B57429" w:rsidRDefault="00296267">
            <w:r>
              <w:t>3. Agent identity treatment</w:t>
            </w:r>
          </w:p>
        </w:tc>
        <w:tc>
          <w:tcPr>
            <w:tcW w:w="3420" w:type="dxa"/>
          </w:tcPr>
          <w:p w14:paraId="30F73703" w14:textId="77777777" w:rsidR="00B57429" w:rsidRDefault="00296267">
            <w:r>
              <w:t>Agent identity, sponsor/principal, runtime identity, or documented identity-confidence handling is captured.</w:t>
            </w:r>
          </w:p>
        </w:tc>
        <w:tc>
          <w:tcPr>
            <w:tcW w:w="2808" w:type="dxa"/>
          </w:tcPr>
          <w:p w14:paraId="17063A13" w14:textId="77777777" w:rsidR="00B57429" w:rsidRDefault="00296267">
            <w:r>
              <w:t>Supports attribution and scoped authority.</w:t>
            </w:r>
          </w:p>
        </w:tc>
      </w:tr>
      <w:tr w:rsidR="00B57429" w14:paraId="3DBF4102" w14:textId="77777777" w:rsidTr="00C10193">
        <w:trPr>
          <w:jc w:val="center"/>
        </w:trPr>
        <w:tc>
          <w:tcPr>
            <w:tcW w:w="3708" w:type="dxa"/>
          </w:tcPr>
          <w:p w14:paraId="2FFFAF44" w14:textId="77777777" w:rsidR="00B57429" w:rsidRDefault="00296267">
            <w:r>
              <w:t>4. Enforcement decision model</w:t>
            </w:r>
          </w:p>
        </w:tc>
        <w:tc>
          <w:tcPr>
            <w:tcW w:w="3420" w:type="dxa"/>
          </w:tcPr>
          <w:p w14:paraId="7EF39A2B" w14:textId="77777777" w:rsidR="00B57429" w:rsidRDefault="00296267">
            <w:r>
              <w:t>Allow, block, degrade, rate-limit, approval, and emergency-stop decisions are represented in a common vocabulary.</w:t>
            </w:r>
          </w:p>
        </w:tc>
        <w:tc>
          <w:tcPr>
            <w:tcW w:w="2808" w:type="dxa"/>
          </w:tcPr>
          <w:p w14:paraId="626E54FC" w14:textId="77777777" w:rsidR="00B57429" w:rsidRDefault="00296267">
            <w:r>
              <w:t>Makes heterogeneous tools comparable.</w:t>
            </w:r>
          </w:p>
        </w:tc>
      </w:tr>
      <w:tr w:rsidR="00B57429" w14:paraId="02D34B1D" w14:textId="77777777" w:rsidTr="00C10193">
        <w:trPr>
          <w:jc w:val="center"/>
        </w:trPr>
        <w:tc>
          <w:tcPr>
            <w:tcW w:w="3708" w:type="dxa"/>
          </w:tcPr>
          <w:p w14:paraId="6D2DAE0F" w14:textId="77777777" w:rsidR="00B57429" w:rsidRDefault="00296267">
            <w:r>
              <w:t>5. Rate-limit or circuit-breaker behavior</w:t>
            </w:r>
          </w:p>
        </w:tc>
        <w:tc>
          <w:tcPr>
            <w:tcW w:w="3420" w:type="dxa"/>
          </w:tcPr>
          <w:p w14:paraId="0C7B6878" w14:textId="77777777" w:rsidR="00B57429" w:rsidRDefault="00296267">
            <w:r>
              <w:t>The deployment demonstrates at least one control that constrains velocity or burst behavior.</w:t>
            </w:r>
          </w:p>
        </w:tc>
        <w:tc>
          <w:tcPr>
            <w:tcW w:w="2808" w:type="dxa"/>
          </w:tcPr>
          <w:p w14:paraId="7563702C" w14:textId="77777777" w:rsidR="00B57429" w:rsidRDefault="00296267">
            <w:r>
              <w:t>Moves beyond static allow/block lists.</w:t>
            </w:r>
          </w:p>
        </w:tc>
      </w:tr>
      <w:tr w:rsidR="00B57429" w14:paraId="1B6C55DA" w14:textId="77777777" w:rsidTr="00C10193">
        <w:trPr>
          <w:jc w:val="center"/>
        </w:trPr>
        <w:tc>
          <w:tcPr>
            <w:tcW w:w="3708" w:type="dxa"/>
          </w:tcPr>
          <w:p w14:paraId="7EF54636" w14:textId="77777777" w:rsidR="00B57429" w:rsidRDefault="00296267">
            <w:r>
              <w:t>6. Emergency-stop evidence</w:t>
            </w:r>
          </w:p>
        </w:tc>
        <w:tc>
          <w:tcPr>
            <w:tcW w:w="3420" w:type="dxa"/>
          </w:tcPr>
          <w:p w14:paraId="22938C0B" w14:textId="77777777" w:rsidR="00B57429" w:rsidRDefault="00296267">
            <w:r>
              <w:t>A tested path exists to stop protected actuation and resume safely.</w:t>
            </w:r>
          </w:p>
        </w:tc>
        <w:tc>
          <w:tcPr>
            <w:tcW w:w="2808" w:type="dxa"/>
          </w:tcPr>
          <w:p w14:paraId="1170474F" w14:textId="77777777" w:rsidR="00B57429" w:rsidRDefault="00296267">
            <w:r>
              <w:t>Establishes operational braking authority.</w:t>
            </w:r>
          </w:p>
        </w:tc>
      </w:tr>
      <w:tr w:rsidR="00B57429" w14:paraId="49D285C2" w14:textId="77777777" w:rsidTr="00C10193">
        <w:trPr>
          <w:jc w:val="center"/>
        </w:trPr>
        <w:tc>
          <w:tcPr>
            <w:tcW w:w="3708" w:type="dxa"/>
          </w:tcPr>
          <w:p w14:paraId="26264FDC" w14:textId="77777777" w:rsidR="00B57429" w:rsidRDefault="00296267">
            <w:r>
              <w:t>7. Bypass-prevention evidence</w:t>
            </w:r>
          </w:p>
        </w:tc>
        <w:tc>
          <w:tcPr>
            <w:tcW w:w="3420" w:type="dxa"/>
          </w:tcPr>
          <w:p w14:paraId="26D25F39" w14:textId="77777777" w:rsidR="00B57429" w:rsidRDefault="00296267">
            <w:r>
              <w:t>Direct upstream access and credential bypass are tested and blocked or explicitly scoped.</w:t>
            </w:r>
          </w:p>
        </w:tc>
        <w:tc>
          <w:tcPr>
            <w:tcW w:w="2808" w:type="dxa"/>
          </w:tcPr>
          <w:p w14:paraId="6F9BDF4D" w14:textId="77777777" w:rsidR="00B57429" w:rsidRDefault="00296267">
            <w:r>
              <w:t>Separates control from passive observability.</w:t>
            </w:r>
          </w:p>
        </w:tc>
      </w:tr>
      <w:tr w:rsidR="00B57429" w14:paraId="7FF361E7" w14:textId="77777777" w:rsidTr="00C10193">
        <w:trPr>
          <w:jc w:val="center"/>
        </w:trPr>
        <w:tc>
          <w:tcPr>
            <w:tcW w:w="3708" w:type="dxa"/>
          </w:tcPr>
          <w:p w14:paraId="2C6235D3" w14:textId="77777777" w:rsidR="00B57429" w:rsidRDefault="00296267">
            <w:r>
              <w:t>8. Normalized audit evidence</w:t>
            </w:r>
          </w:p>
        </w:tc>
        <w:tc>
          <w:tcPr>
            <w:tcW w:w="3420" w:type="dxa"/>
          </w:tcPr>
          <w:p w14:paraId="4EB7AB08" w14:textId="77777777" w:rsidR="00B57429" w:rsidRDefault="00296267">
            <w:r>
              <w:t>Audit records map to the ProofRail schema or a documented equivalent.</w:t>
            </w:r>
          </w:p>
        </w:tc>
        <w:tc>
          <w:tcPr>
            <w:tcW w:w="2808" w:type="dxa"/>
          </w:tcPr>
          <w:p w14:paraId="77292167" w14:textId="77777777" w:rsidR="00B57429" w:rsidRDefault="00296267">
            <w:r>
              <w:t>Supports incident response, audit, and SIEM integration.</w:t>
            </w:r>
          </w:p>
        </w:tc>
      </w:tr>
      <w:tr w:rsidR="00B57429" w14:paraId="0C9211A2" w14:textId="77777777" w:rsidTr="00C10193">
        <w:trPr>
          <w:jc w:val="center"/>
        </w:trPr>
        <w:tc>
          <w:tcPr>
            <w:tcW w:w="3708" w:type="dxa"/>
          </w:tcPr>
          <w:p w14:paraId="36FFD3EE" w14:textId="77777777" w:rsidR="00B57429" w:rsidRDefault="00296267">
            <w:r>
              <w:t>9. Performance evidence</w:t>
            </w:r>
          </w:p>
        </w:tc>
        <w:tc>
          <w:tcPr>
            <w:tcW w:w="3420" w:type="dxa"/>
          </w:tcPr>
          <w:p w14:paraId="0F72126D" w14:textId="77777777" w:rsidR="00B57429" w:rsidRDefault="00296267">
            <w:r>
              <w:t>Added latency, error rate, and test method are recorded.</w:t>
            </w:r>
          </w:p>
        </w:tc>
        <w:tc>
          <w:tcPr>
            <w:tcW w:w="2808" w:type="dxa"/>
          </w:tcPr>
          <w:p w14:paraId="2639A595" w14:textId="77777777" w:rsidR="00B57429" w:rsidRDefault="00296267">
            <w:r>
              <w:t>Prevents controls from being operationally unusable.</w:t>
            </w:r>
          </w:p>
        </w:tc>
      </w:tr>
      <w:tr w:rsidR="00B57429" w14:paraId="2D3F9F7D" w14:textId="77777777" w:rsidTr="00C10193">
        <w:trPr>
          <w:jc w:val="center"/>
        </w:trPr>
        <w:tc>
          <w:tcPr>
            <w:tcW w:w="3708" w:type="dxa"/>
          </w:tcPr>
          <w:p w14:paraId="5ABB38C9" w14:textId="77777777" w:rsidR="00B57429" w:rsidRDefault="00296267">
            <w:r>
              <w:t>10. Ownership and runbook</w:t>
            </w:r>
          </w:p>
        </w:tc>
        <w:tc>
          <w:tcPr>
            <w:tcW w:w="3420" w:type="dxa"/>
          </w:tcPr>
          <w:p w14:paraId="5B7E550E" w14:textId="77777777" w:rsidR="00B57429" w:rsidRDefault="00296267">
            <w:r>
              <w:t>Control owners, incident owners, stop/resume authority, and operating procedures are documented.</w:t>
            </w:r>
          </w:p>
        </w:tc>
        <w:tc>
          <w:tcPr>
            <w:tcW w:w="2808" w:type="dxa"/>
          </w:tcPr>
          <w:p w14:paraId="1891D25B" w14:textId="77777777" w:rsidR="00B57429" w:rsidRDefault="00296267">
            <w:r>
              <w:t>Turns technical controls into accountable governance.</w:t>
            </w:r>
          </w:p>
        </w:tc>
      </w:tr>
    </w:tbl>
    <w:p w14:paraId="7CD63B40" w14:textId="77777777" w:rsidR="00B57429" w:rsidRDefault="00B57429"/>
    <w:p w14:paraId="41ABF2F9" w14:textId="77777777" w:rsidR="00B57429" w:rsidRDefault="00296267">
      <w:r>
        <w:t>This minimum claim is intentionally local-enterprise scoped. It does not require cross-enterprise trust propagation, shared revocation, or regulator-level oversight. Those are later-tier concerns.</w:t>
      </w:r>
    </w:p>
    <w:p w14:paraId="7C950382" w14:textId="2E04D71D" w:rsidR="00B57429" w:rsidRDefault="00296267">
      <w:pPr>
        <w:pStyle w:val="Heading1"/>
      </w:pPr>
      <w:r>
        <w:rPr>
          <w:b w:val="0"/>
        </w:rPr>
        <w:lastRenderedPageBreak/>
        <w:t>5. Track A: Native Bronze Preview</w:t>
      </w:r>
    </w:p>
    <w:p w14:paraId="7BB4963F" w14:textId="77777777" w:rsidR="00B57429" w:rsidRDefault="00296267">
      <w:pPr>
        <w:pStyle w:val="Heading2"/>
      </w:pPr>
      <w:r>
        <w:rPr>
          <w:b w:val="0"/>
        </w:rPr>
        <w:t>5.1 Purpose</w:t>
      </w:r>
    </w:p>
    <w:p w14:paraId="59F4F130" w14:textId="1D964CC6" w:rsidR="00B57429" w:rsidRDefault="00296267">
      <w:r>
        <w:t xml:space="preserve">Native Bronze Preview extends the </w:t>
      </w:r>
      <w:r w:rsidR="00951FEE">
        <w:t>Iron-plus</w:t>
      </w:r>
      <w:r>
        <w:t xml:space="preserve"> implementation to demonstrate that </w:t>
      </w:r>
      <w:r w:rsidR="00F4583C">
        <w:t xml:space="preserve">the </w:t>
      </w:r>
      <w:r>
        <w:t>ProofRail</w:t>
      </w:r>
      <w:r w:rsidR="00F4583C">
        <w:t xml:space="preserve"> native implementat</w:t>
      </w:r>
      <w:r w:rsidR="007C0E04">
        <w:t>ion</w:t>
      </w:r>
      <w:r>
        <w:t xml:space="preserve"> can evolve toward Bronze-level capabilities.</w:t>
      </w:r>
    </w:p>
    <w:p w14:paraId="24D5937C" w14:textId="77777777" w:rsidR="00B57429" w:rsidRDefault="00296267">
      <w:r>
        <w:t>This track is useful because it shows that ProofRail is more than a paper framework or conformance vocabulary. It also remains an executable reference implementation.</w:t>
      </w:r>
    </w:p>
    <w:p w14:paraId="3087B5BE" w14:textId="2A48247A" w:rsidR="00B57429" w:rsidRDefault="00296267">
      <w:r>
        <w:t xml:space="preserve">However, Native Bronze Preview should remain deliberately modest. The goal is not to build a full enterprise gateway. The goal is to add selected Bronze capabilities that naturally extend </w:t>
      </w:r>
      <w:r w:rsidR="00951FEE">
        <w:t>Iron-plus</w:t>
      </w:r>
      <w:r>
        <w:t xml:space="preserve"> and demonstrate a clear path to full Bronze.</w:t>
      </w:r>
    </w:p>
    <w:p w14:paraId="70C1A002" w14:textId="77777777" w:rsidR="00B57429" w:rsidRDefault="00296267">
      <w:pPr>
        <w:pStyle w:val="Heading2"/>
      </w:pPr>
      <w:r>
        <w:rPr>
          <w:b w:val="0"/>
        </w:rPr>
        <w:t>5.2 Proposed Native Bronze Preview Scope</w:t>
      </w:r>
    </w:p>
    <w:p w14:paraId="4F245A0C" w14:textId="65F9F0D0" w:rsidR="00B57429" w:rsidRDefault="00296267">
      <w:r>
        <w:t xml:space="preserve">Native Bronze Preview should add the smallest useful set of Bronze features beyond </w:t>
      </w:r>
      <w:r w:rsidR="00951FEE">
        <w:t>Iron-plus</w:t>
      </w:r>
      <w:r>
        <w:t>:</w:t>
      </w:r>
    </w:p>
    <w:tbl>
      <w:tblPr>
        <w:tblStyle w:val="TableGrid"/>
        <w:tblW w:w="0" w:type="auto"/>
        <w:jc w:val="center"/>
        <w:tblLook w:val="04A0" w:firstRow="1" w:lastRow="0" w:firstColumn="1" w:lastColumn="0" w:noHBand="0" w:noVBand="1"/>
      </w:tblPr>
      <w:tblGrid>
        <w:gridCol w:w="2592"/>
        <w:gridCol w:w="3888"/>
        <w:gridCol w:w="3456"/>
      </w:tblGrid>
      <w:tr w:rsidR="00B57429" w14:paraId="469D4E38" w14:textId="77777777">
        <w:trPr>
          <w:jc w:val="center"/>
        </w:trPr>
        <w:tc>
          <w:tcPr>
            <w:tcW w:w="2592" w:type="dxa"/>
            <w:shd w:val="clear" w:color="auto" w:fill="D9EAF7"/>
          </w:tcPr>
          <w:p w14:paraId="409F58CC" w14:textId="77777777" w:rsidR="00B57429" w:rsidRDefault="00296267">
            <w:r>
              <w:rPr>
                <w:b/>
              </w:rPr>
              <w:t>Capability</w:t>
            </w:r>
          </w:p>
        </w:tc>
        <w:tc>
          <w:tcPr>
            <w:tcW w:w="3888" w:type="dxa"/>
            <w:shd w:val="clear" w:color="auto" w:fill="D9EAF7"/>
          </w:tcPr>
          <w:p w14:paraId="3C1E6D2A" w14:textId="77777777" w:rsidR="00B57429" w:rsidRDefault="00296267">
            <w:r>
              <w:rPr>
                <w:b/>
              </w:rPr>
              <w:t>Bronze Preview Scope</w:t>
            </w:r>
          </w:p>
        </w:tc>
        <w:tc>
          <w:tcPr>
            <w:tcW w:w="3456" w:type="dxa"/>
            <w:shd w:val="clear" w:color="auto" w:fill="D9EAF7"/>
          </w:tcPr>
          <w:p w14:paraId="764EC30A" w14:textId="77777777" w:rsidR="00B57429" w:rsidRDefault="00296267">
            <w:r>
              <w:rPr>
                <w:b/>
              </w:rPr>
              <w:t>Rationale</w:t>
            </w:r>
          </w:p>
        </w:tc>
      </w:tr>
      <w:tr w:rsidR="00B57429" w14:paraId="70378DF9" w14:textId="77777777">
        <w:trPr>
          <w:jc w:val="center"/>
        </w:trPr>
        <w:tc>
          <w:tcPr>
            <w:tcW w:w="2592" w:type="dxa"/>
          </w:tcPr>
          <w:p w14:paraId="1BCE904A" w14:textId="77777777" w:rsidR="00B57429" w:rsidRDefault="00296267">
            <w:r>
              <w:t>Multi-upstream routing</w:t>
            </w:r>
          </w:p>
        </w:tc>
        <w:tc>
          <w:tcPr>
            <w:tcW w:w="3888" w:type="dxa"/>
          </w:tcPr>
          <w:p w14:paraId="5E822778" w14:textId="77777777" w:rsidR="00B57429" w:rsidRDefault="00296267">
            <w:r>
              <w:t>Static route map by tool prefix or actuator group</w:t>
            </w:r>
          </w:p>
        </w:tc>
        <w:tc>
          <w:tcPr>
            <w:tcW w:w="3456" w:type="dxa"/>
          </w:tcPr>
          <w:p w14:paraId="42311676" w14:textId="77777777" w:rsidR="00B57429" w:rsidRDefault="00296267">
            <w:r>
              <w:t>Moves beyond single upstream without building a full gateway product</w:t>
            </w:r>
          </w:p>
        </w:tc>
      </w:tr>
      <w:tr w:rsidR="00B57429" w14:paraId="2F342027" w14:textId="77777777">
        <w:trPr>
          <w:jc w:val="center"/>
        </w:trPr>
        <w:tc>
          <w:tcPr>
            <w:tcW w:w="2592" w:type="dxa"/>
          </w:tcPr>
          <w:p w14:paraId="1E4E72E2" w14:textId="77777777" w:rsidR="00B57429" w:rsidRDefault="00296267">
            <w:r>
              <w:t>Policy versioning</w:t>
            </w:r>
          </w:p>
        </w:tc>
        <w:tc>
          <w:tcPr>
            <w:tcW w:w="3888" w:type="dxa"/>
          </w:tcPr>
          <w:p w14:paraId="429A1175" w14:textId="77777777" w:rsidR="00B57429" w:rsidRDefault="00296267">
            <w:r>
              <w:t>Policy hash, version ID, change history</w:t>
            </w:r>
          </w:p>
        </w:tc>
        <w:tc>
          <w:tcPr>
            <w:tcW w:w="3456" w:type="dxa"/>
          </w:tcPr>
          <w:p w14:paraId="2B9C88AD" w14:textId="77777777" w:rsidR="00B57429" w:rsidRDefault="00296267">
            <w:r>
              <w:t>Strengthens evidence and rollback discipline</w:t>
            </w:r>
          </w:p>
        </w:tc>
      </w:tr>
      <w:tr w:rsidR="00B57429" w14:paraId="50D6E6AC" w14:textId="77777777">
        <w:trPr>
          <w:jc w:val="center"/>
        </w:trPr>
        <w:tc>
          <w:tcPr>
            <w:tcW w:w="2592" w:type="dxa"/>
          </w:tcPr>
          <w:p w14:paraId="7DC240B2" w14:textId="77777777" w:rsidR="00B57429" w:rsidRDefault="00296267">
            <w:r>
              <w:t>Basic rollback</w:t>
            </w:r>
          </w:p>
        </w:tc>
        <w:tc>
          <w:tcPr>
            <w:tcW w:w="3888" w:type="dxa"/>
          </w:tcPr>
          <w:p w14:paraId="2038E646" w14:textId="77777777" w:rsidR="00B57429" w:rsidRDefault="00296267">
            <w:r>
              <w:t>Operator-triggered rollback to last known-good policy</w:t>
            </w:r>
          </w:p>
        </w:tc>
        <w:tc>
          <w:tcPr>
            <w:tcW w:w="3456" w:type="dxa"/>
          </w:tcPr>
          <w:p w14:paraId="41E6DDC7" w14:textId="77777777" w:rsidR="00B57429" w:rsidRDefault="00296267">
            <w:r>
              <w:t>Useful but can remain simple</w:t>
            </w:r>
          </w:p>
        </w:tc>
      </w:tr>
      <w:tr w:rsidR="00B57429" w14:paraId="0270BF52" w14:textId="77777777">
        <w:trPr>
          <w:jc w:val="center"/>
        </w:trPr>
        <w:tc>
          <w:tcPr>
            <w:tcW w:w="2592" w:type="dxa"/>
          </w:tcPr>
          <w:p w14:paraId="5F5C23FB" w14:textId="77777777" w:rsidR="00B57429" w:rsidRDefault="00296267">
            <w:r>
              <w:t>Durable audit queue</w:t>
            </w:r>
          </w:p>
        </w:tc>
        <w:tc>
          <w:tcPr>
            <w:tcW w:w="3888" w:type="dxa"/>
          </w:tcPr>
          <w:p w14:paraId="6CDD49AB" w14:textId="77777777" w:rsidR="00B57429" w:rsidRDefault="00296267">
            <w:r>
              <w:t>Local file-backed or SQLite-backed webhook retry queue</w:t>
            </w:r>
          </w:p>
        </w:tc>
        <w:tc>
          <w:tcPr>
            <w:tcW w:w="3456" w:type="dxa"/>
          </w:tcPr>
          <w:p w14:paraId="00601E22" w14:textId="77777777" w:rsidR="00B57429" w:rsidRDefault="00296267">
            <w:r>
              <w:t>Improves audit delivery beyond fire-and-forget</w:t>
            </w:r>
          </w:p>
        </w:tc>
      </w:tr>
      <w:tr w:rsidR="00B57429" w14:paraId="470C48B8" w14:textId="77777777">
        <w:trPr>
          <w:jc w:val="center"/>
        </w:trPr>
        <w:tc>
          <w:tcPr>
            <w:tcW w:w="2592" w:type="dxa"/>
          </w:tcPr>
          <w:p w14:paraId="3A684C69" w14:textId="77777777" w:rsidR="00B57429" w:rsidRDefault="00296267">
            <w:r>
              <w:t>Enterprise identity demo</w:t>
            </w:r>
          </w:p>
        </w:tc>
        <w:tc>
          <w:tcPr>
            <w:tcW w:w="3888" w:type="dxa"/>
          </w:tcPr>
          <w:p w14:paraId="4E483305" w14:textId="77777777" w:rsidR="00B57429" w:rsidRDefault="00296267">
            <w:r>
              <w:t>Local Keycloak/OIDC profile</w:t>
            </w:r>
          </w:p>
        </w:tc>
        <w:tc>
          <w:tcPr>
            <w:tcW w:w="3456" w:type="dxa"/>
          </w:tcPr>
          <w:p w14:paraId="42DA2D65" w14:textId="77777777" w:rsidR="00B57429" w:rsidRDefault="00296267">
            <w:r>
              <w:t>Demonstrates IdP integration without need to support all enterprise IdPs</w:t>
            </w:r>
          </w:p>
        </w:tc>
      </w:tr>
      <w:tr w:rsidR="00B57429" w14:paraId="5F5FFEA1" w14:textId="77777777">
        <w:trPr>
          <w:jc w:val="center"/>
        </w:trPr>
        <w:tc>
          <w:tcPr>
            <w:tcW w:w="2592" w:type="dxa"/>
          </w:tcPr>
          <w:p w14:paraId="3D4E8A31" w14:textId="77777777" w:rsidR="00B57429" w:rsidRDefault="00296267">
            <w:r>
              <w:t>Basic OpenTelemetry export</w:t>
            </w:r>
          </w:p>
        </w:tc>
        <w:tc>
          <w:tcPr>
            <w:tcW w:w="3888" w:type="dxa"/>
          </w:tcPr>
          <w:p w14:paraId="0918615B" w14:textId="77777777" w:rsidR="00B57429" w:rsidRDefault="00296267">
            <w:r>
              <w:t>OTLP-compatible traces/metrics for core events</w:t>
            </w:r>
          </w:p>
        </w:tc>
        <w:tc>
          <w:tcPr>
            <w:tcW w:w="3456" w:type="dxa"/>
          </w:tcPr>
          <w:p w14:paraId="075B9496" w14:textId="77777777" w:rsidR="00B57429" w:rsidRDefault="00296267">
            <w:r>
              <w:t>Aligns with enterprise observability patterns</w:t>
            </w:r>
          </w:p>
        </w:tc>
      </w:tr>
      <w:tr w:rsidR="00B57429" w14:paraId="7331DAFD" w14:textId="77777777">
        <w:trPr>
          <w:jc w:val="center"/>
        </w:trPr>
        <w:tc>
          <w:tcPr>
            <w:tcW w:w="2592" w:type="dxa"/>
          </w:tcPr>
          <w:p w14:paraId="00B852EA" w14:textId="77777777" w:rsidR="00B57429" w:rsidRDefault="00296267">
            <w:r>
              <w:t>Secrets profile</w:t>
            </w:r>
          </w:p>
        </w:tc>
        <w:tc>
          <w:tcPr>
            <w:tcW w:w="3888" w:type="dxa"/>
          </w:tcPr>
          <w:p w14:paraId="3A51881E" w14:textId="77777777" w:rsidR="00B57429" w:rsidRDefault="00296267">
            <w:r>
              <w:t>Docker secrets as default; Vault profile optional</w:t>
            </w:r>
          </w:p>
        </w:tc>
        <w:tc>
          <w:tcPr>
            <w:tcW w:w="3456" w:type="dxa"/>
          </w:tcPr>
          <w:p w14:paraId="64DFA7B6" w14:textId="77777777" w:rsidR="00B57429" w:rsidRDefault="00296267">
            <w:r>
              <w:t>Strengthens credential placement story</w:t>
            </w:r>
          </w:p>
        </w:tc>
      </w:tr>
      <w:tr w:rsidR="00B57429" w14:paraId="10379CD6" w14:textId="77777777">
        <w:trPr>
          <w:jc w:val="center"/>
        </w:trPr>
        <w:tc>
          <w:tcPr>
            <w:tcW w:w="2592" w:type="dxa"/>
          </w:tcPr>
          <w:p w14:paraId="5AAB0F00" w14:textId="77777777" w:rsidR="00B57429" w:rsidRDefault="00296267">
            <w:r>
              <w:t>Bronze claim generator</w:t>
            </w:r>
          </w:p>
        </w:tc>
        <w:tc>
          <w:tcPr>
            <w:tcW w:w="3888" w:type="dxa"/>
          </w:tcPr>
          <w:p w14:paraId="6F6B4CD6" w14:textId="77777777" w:rsidR="00B57429" w:rsidRDefault="00296267">
            <w:r>
              <w:t>Updated conformance claim including Bronze Preview fields</w:t>
            </w:r>
          </w:p>
        </w:tc>
        <w:tc>
          <w:tcPr>
            <w:tcW w:w="3456" w:type="dxa"/>
          </w:tcPr>
          <w:p w14:paraId="026FA5C8" w14:textId="77777777" w:rsidR="00B57429" w:rsidRDefault="00296267">
            <w:r>
              <w:t>Makes evidence portable</w:t>
            </w:r>
          </w:p>
        </w:tc>
      </w:tr>
    </w:tbl>
    <w:p w14:paraId="4088738B" w14:textId="77777777" w:rsidR="00B57429" w:rsidRDefault="00B57429"/>
    <w:p w14:paraId="4DC57602" w14:textId="77777777" w:rsidR="00B57429" w:rsidRDefault="00296267">
      <w:pPr>
        <w:pStyle w:val="Heading2"/>
      </w:pPr>
      <w:r>
        <w:rPr>
          <w:b w:val="0"/>
        </w:rPr>
        <w:t>5.3 Explicit Non-Goals</w:t>
      </w:r>
    </w:p>
    <w:p w14:paraId="2B4D14C0" w14:textId="77777777" w:rsidR="00B57429" w:rsidRDefault="00296267">
      <w:r>
        <w:t>Native Bronze Preview should not attempt to become:</w:t>
      </w:r>
    </w:p>
    <w:p w14:paraId="4721E46A" w14:textId="77777777" w:rsidR="00B57429" w:rsidRDefault="00296267">
      <w:pPr>
        <w:pStyle w:val="ListBullet"/>
      </w:pPr>
      <w:r>
        <w:t>a general API gateway;</w:t>
      </w:r>
    </w:p>
    <w:p w14:paraId="7A44881A" w14:textId="77777777" w:rsidR="00B57429" w:rsidRDefault="00296267">
      <w:pPr>
        <w:pStyle w:val="ListBullet"/>
      </w:pPr>
      <w:r>
        <w:t>a full MCP registry;</w:t>
      </w:r>
    </w:p>
    <w:p w14:paraId="3226463B" w14:textId="77777777" w:rsidR="00B57429" w:rsidRDefault="00296267">
      <w:pPr>
        <w:pStyle w:val="ListBullet"/>
      </w:pPr>
      <w:r>
        <w:t>a full A2A gateway;</w:t>
      </w:r>
    </w:p>
    <w:p w14:paraId="016117C9" w14:textId="77777777" w:rsidR="00B57429" w:rsidRDefault="00296267">
      <w:pPr>
        <w:pStyle w:val="ListBullet"/>
      </w:pPr>
      <w:r>
        <w:t>a commercial SIEM;</w:t>
      </w:r>
    </w:p>
    <w:p w14:paraId="04DA1F0A" w14:textId="77777777" w:rsidR="00B57429" w:rsidRDefault="00296267">
      <w:pPr>
        <w:pStyle w:val="ListBullet"/>
      </w:pPr>
      <w:r>
        <w:t>an enterprise IAM platform;</w:t>
      </w:r>
    </w:p>
    <w:p w14:paraId="3EE56BC5" w14:textId="77777777" w:rsidR="00B57429" w:rsidRDefault="00296267">
      <w:pPr>
        <w:pStyle w:val="ListBullet"/>
      </w:pPr>
      <w:r>
        <w:t>a policy authoring suite;</w:t>
      </w:r>
    </w:p>
    <w:p w14:paraId="02643F31" w14:textId="77777777" w:rsidR="00B57429" w:rsidRDefault="00296267">
      <w:pPr>
        <w:pStyle w:val="ListBullet"/>
      </w:pPr>
      <w:r>
        <w:t>a full OPA replacement;</w:t>
      </w:r>
    </w:p>
    <w:p w14:paraId="5AD8EE20" w14:textId="77777777" w:rsidR="00B57429" w:rsidRDefault="00296267">
      <w:pPr>
        <w:pStyle w:val="ListBullet"/>
      </w:pPr>
      <w:r>
        <w:t>a distributed control plane.</w:t>
      </w:r>
    </w:p>
    <w:p w14:paraId="4F342BBA" w14:textId="77777777" w:rsidR="00B57429" w:rsidRDefault="00296267">
      <w:r>
        <w:t>Those capabilities belong either to existing enterprise infrastructure or to later ProofRail tiers.</w:t>
      </w:r>
    </w:p>
    <w:p w14:paraId="1F7E50D8" w14:textId="77777777" w:rsidR="00B57429" w:rsidRDefault="00296267">
      <w:pPr>
        <w:pStyle w:val="Heading2"/>
      </w:pPr>
      <w:r>
        <w:rPr>
          <w:b w:val="0"/>
        </w:rPr>
        <w:lastRenderedPageBreak/>
        <w:t>5.4 Native Bronze Preview Success Criteria</w:t>
      </w:r>
    </w:p>
    <w:p w14:paraId="4BF032E1" w14:textId="77777777" w:rsidR="00B57429" w:rsidRDefault="00296267">
      <w:r>
        <w:t>Native Bronze Preview succeeds if it can demonstrate:</w:t>
      </w:r>
    </w:p>
    <w:p w14:paraId="58DCB55B" w14:textId="77777777" w:rsidR="00B57429" w:rsidRDefault="00296267">
      <w:pPr>
        <w:pStyle w:val="ListBullet"/>
      </w:pPr>
      <w:r>
        <w:t>more than one upstream can be governed;</w:t>
      </w:r>
    </w:p>
    <w:p w14:paraId="2626592C" w14:textId="77777777" w:rsidR="00B57429" w:rsidRDefault="00296267">
      <w:pPr>
        <w:pStyle w:val="ListBullet"/>
      </w:pPr>
      <w:r>
        <w:t>policy versions are identifiable and auditable;</w:t>
      </w:r>
    </w:p>
    <w:p w14:paraId="2837C327" w14:textId="77777777" w:rsidR="00B57429" w:rsidRDefault="00296267">
      <w:pPr>
        <w:pStyle w:val="ListBullet"/>
      </w:pPr>
      <w:r>
        <w:t>a policy rollback can be performed and logged;</w:t>
      </w:r>
    </w:p>
    <w:p w14:paraId="7E4684A8" w14:textId="77777777" w:rsidR="00B57429" w:rsidRDefault="00296267">
      <w:pPr>
        <w:pStyle w:val="ListBullet"/>
      </w:pPr>
      <w:r>
        <w:t>audit delivery survives temporary webhook outage;</w:t>
      </w:r>
    </w:p>
    <w:p w14:paraId="725C2AE6" w14:textId="77777777" w:rsidR="00B57429" w:rsidRDefault="00296267">
      <w:pPr>
        <w:pStyle w:val="ListBullet"/>
      </w:pPr>
      <w:r>
        <w:t>identity can be obtained from a demo OIDC provider;</w:t>
      </w:r>
    </w:p>
    <w:p w14:paraId="54E69BC9" w14:textId="77777777" w:rsidR="00B57429" w:rsidRDefault="00296267">
      <w:pPr>
        <w:pStyle w:val="ListBullet"/>
      </w:pPr>
      <w:r>
        <w:t>OTLP-compatible telemetry can be exported;</w:t>
      </w:r>
    </w:p>
    <w:p w14:paraId="2DF34CF5" w14:textId="77777777" w:rsidR="00B57429" w:rsidRDefault="00296267">
      <w:pPr>
        <w:pStyle w:val="ListBullet"/>
      </w:pPr>
      <w:r>
        <w:t>all Bronze Preview evidence can be included in a conformance bundle.</w:t>
      </w:r>
    </w:p>
    <w:p w14:paraId="69DC0BCC" w14:textId="77777777" w:rsidR="00B57429" w:rsidRDefault="00296267">
      <w:pPr>
        <w:pStyle w:val="Heading1"/>
      </w:pPr>
      <w:r>
        <w:rPr>
          <w:b w:val="0"/>
        </w:rPr>
        <w:t>6. Track B: Composed Bronze Stack</w:t>
      </w:r>
    </w:p>
    <w:p w14:paraId="39BD852D" w14:textId="77777777" w:rsidR="00B57429" w:rsidRDefault="00296267">
      <w:pPr>
        <w:pStyle w:val="Heading2"/>
      </w:pPr>
      <w:r>
        <w:rPr>
          <w:b w:val="0"/>
        </w:rPr>
        <w:t>6.1 Purpose</w:t>
      </w:r>
    </w:p>
    <w:p w14:paraId="36AAD0B0" w14:textId="77777777" w:rsidR="00B57429" w:rsidRDefault="00296267">
      <w:r>
        <w:t>Composed Bronze is the more strategically important track.</w:t>
      </w:r>
    </w:p>
    <w:p w14:paraId="5214B266" w14:textId="77777777" w:rsidR="00B57429" w:rsidRDefault="00296267">
      <w:r>
        <w:t>It demonstrates that ProofRail Bronze conformance can be achieved across a heterogeneous enterprise stack using existing tools.</w:t>
      </w:r>
    </w:p>
    <w:p w14:paraId="7F0CD150" w14:textId="77777777" w:rsidR="00B57429" w:rsidRDefault="00296267">
      <w:r>
        <w:t>The purpose is to show that an enterprise can avoid vendor lock-in while still making a credible ProofRail control claim.</w:t>
      </w:r>
    </w:p>
    <w:p w14:paraId="29C6D73C" w14:textId="77777777" w:rsidR="00B57429" w:rsidRDefault="00296267">
      <w:pPr>
        <w:pStyle w:val="Heading2"/>
      </w:pPr>
      <w:r>
        <w:rPr>
          <w:b w:val="0"/>
        </w:rPr>
        <w:t>6.2 Core Idea</w:t>
      </w:r>
    </w:p>
    <w:p w14:paraId="4C3BE54C" w14:textId="77777777" w:rsidR="00B57429" w:rsidRDefault="00296267">
      <w:r>
        <w:t>A composed Bronze stack uses existing infrastructure for enforcement, identity, observability, and logging, while ProofRail supplies the conformance model, evidence schema, protected actuator declaration, bypass tests, audit mapping, and claim generator.</w:t>
      </w:r>
    </w:p>
    <w:p w14:paraId="30D87FE8" w14:textId="77777777" w:rsidR="00B57429" w:rsidRDefault="00296267">
      <w:r>
        <w:t>A representative composed stack may include:</w:t>
      </w:r>
    </w:p>
    <w:p w14:paraId="7CAFC550" w14:textId="77777777" w:rsidR="00B57429" w:rsidRDefault="00296267">
      <w:pPr>
        <w:pStyle w:val="ListBullet"/>
      </w:pPr>
      <w:r>
        <w:t>an agent runtime or test client;</w:t>
      </w:r>
    </w:p>
    <w:p w14:paraId="7E318CB0" w14:textId="77777777" w:rsidR="00B57429" w:rsidRDefault="00296267">
      <w:pPr>
        <w:pStyle w:val="ListBullet"/>
      </w:pPr>
      <w:r>
        <w:t>an MCP or AI gateway;</w:t>
      </w:r>
    </w:p>
    <w:p w14:paraId="4DEF3B3D" w14:textId="77777777" w:rsidR="00B57429" w:rsidRDefault="00296267">
      <w:pPr>
        <w:pStyle w:val="ListBullet"/>
      </w:pPr>
      <w:r>
        <w:t>an identity provider;</w:t>
      </w:r>
    </w:p>
    <w:p w14:paraId="6DC08460" w14:textId="77777777" w:rsidR="00B57429" w:rsidRDefault="00296267">
      <w:pPr>
        <w:pStyle w:val="ListBullet"/>
      </w:pPr>
      <w:r>
        <w:t>a protected MCP server or mock actuator set;</w:t>
      </w:r>
    </w:p>
    <w:p w14:paraId="0DA34253" w14:textId="77777777" w:rsidR="00B57429" w:rsidRDefault="00296267">
      <w:pPr>
        <w:pStyle w:val="ListBullet"/>
      </w:pPr>
      <w:r>
        <w:t>a log/SIEM-like sink;</w:t>
      </w:r>
    </w:p>
    <w:p w14:paraId="4B342FE9" w14:textId="77777777" w:rsidR="00B57429" w:rsidRDefault="00296267">
      <w:pPr>
        <w:pStyle w:val="ListBullet"/>
      </w:pPr>
      <w:r>
        <w:t>an observability layer;</w:t>
      </w:r>
    </w:p>
    <w:p w14:paraId="2C1EDB9B" w14:textId="77777777" w:rsidR="00B57429" w:rsidRDefault="00296267">
      <w:pPr>
        <w:pStyle w:val="ListBullet"/>
      </w:pPr>
      <w:r>
        <w:t>a ProofRail conformance harness.</w:t>
      </w:r>
    </w:p>
    <w:p w14:paraId="36DB9A9B" w14:textId="77777777" w:rsidR="00B57429" w:rsidRDefault="00296267">
      <w:r>
        <w:t>The enforcement substrate can vary. The ProofRail evidence claim should remain stable.</w:t>
      </w:r>
    </w:p>
    <w:p w14:paraId="21C70939" w14:textId="77777777" w:rsidR="00B57429" w:rsidRDefault="00296267">
      <w:pPr>
        <w:pStyle w:val="Heading2"/>
      </w:pPr>
      <w:r>
        <w:rPr>
          <w:b w:val="0"/>
        </w:rPr>
        <w:t>6.3 Candidate Components</w:t>
      </w:r>
    </w:p>
    <w:p w14:paraId="6BB98C2C" w14:textId="77777777" w:rsidR="00B57429" w:rsidRDefault="00296267">
      <w:r>
        <w:t>Potential components for composed Bronze include:</w:t>
      </w:r>
    </w:p>
    <w:tbl>
      <w:tblPr>
        <w:tblStyle w:val="TableGrid"/>
        <w:tblW w:w="0" w:type="auto"/>
        <w:jc w:val="center"/>
        <w:tblLook w:val="04A0" w:firstRow="1" w:lastRow="0" w:firstColumn="1" w:lastColumn="0" w:noHBand="0" w:noVBand="1"/>
      </w:tblPr>
      <w:tblGrid>
        <w:gridCol w:w="2232"/>
        <w:gridCol w:w="4320"/>
        <w:gridCol w:w="3528"/>
      </w:tblGrid>
      <w:tr w:rsidR="00B57429" w14:paraId="13E21922" w14:textId="77777777">
        <w:trPr>
          <w:jc w:val="center"/>
        </w:trPr>
        <w:tc>
          <w:tcPr>
            <w:tcW w:w="2232" w:type="dxa"/>
            <w:shd w:val="clear" w:color="auto" w:fill="D9EAF7"/>
          </w:tcPr>
          <w:p w14:paraId="4843643A" w14:textId="77777777" w:rsidR="00B57429" w:rsidRDefault="00296267">
            <w:r>
              <w:rPr>
                <w:b/>
              </w:rPr>
              <w:t>Layer</w:t>
            </w:r>
          </w:p>
        </w:tc>
        <w:tc>
          <w:tcPr>
            <w:tcW w:w="4320" w:type="dxa"/>
            <w:shd w:val="clear" w:color="auto" w:fill="D9EAF7"/>
          </w:tcPr>
          <w:p w14:paraId="5C68E2CE" w14:textId="77777777" w:rsidR="00B57429" w:rsidRDefault="00296267">
            <w:r>
              <w:rPr>
                <w:b/>
              </w:rPr>
              <w:t>Candidate Components</w:t>
            </w:r>
          </w:p>
        </w:tc>
        <w:tc>
          <w:tcPr>
            <w:tcW w:w="3528" w:type="dxa"/>
            <w:shd w:val="clear" w:color="auto" w:fill="D9EAF7"/>
          </w:tcPr>
          <w:p w14:paraId="3ED1DB98" w14:textId="77777777" w:rsidR="00B57429" w:rsidRDefault="00296267">
            <w:r>
              <w:rPr>
                <w:b/>
              </w:rPr>
              <w:t>Role</w:t>
            </w:r>
          </w:p>
        </w:tc>
      </w:tr>
      <w:tr w:rsidR="00B57429" w14:paraId="62722508" w14:textId="77777777">
        <w:trPr>
          <w:jc w:val="center"/>
        </w:trPr>
        <w:tc>
          <w:tcPr>
            <w:tcW w:w="2232" w:type="dxa"/>
          </w:tcPr>
          <w:p w14:paraId="63EAE8B1" w14:textId="77777777" w:rsidR="00B57429" w:rsidRDefault="00296267">
            <w:r>
              <w:t>Gateway / enforcement</w:t>
            </w:r>
          </w:p>
        </w:tc>
        <w:tc>
          <w:tcPr>
            <w:tcW w:w="4320" w:type="dxa"/>
          </w:tcPr>
          <w:p w14:paraId="45EDC91C" w14:textId="0364B23B" w:rsidR="00B57429" w:rsidRDefault="00296267">
            <w:r>
              <w:t xml:space="preserve">Kong AI Gateway, Lasso MCP Gateway, IBM ContextForge, </w:t>
            </w:r>
            <w:r w:rsidR="000C0B23">
              <w:t xml:space="preserve">Linux Foundation </w:t>
            </w:r>
            <w:r>
              <w:t>agentgateway</w:t>
            </w:r>
          </w:p>
        </w:tc>
        <w:tc>
          <w:tcPr>
            <w:tcW w:w="3528" w:type="dxa"/>
          </w:tcPr>
          <w:p w14:paraId="4E4905D9" w14:textId="77777777" w:rsidR="00B57429" w:rsidRDefault="00296267">
            <w:r>
              <w:t>Mediate agent-to-tool or agent-to-agent traffic</w:t>
            </w:r>
          </w:p>
        </w:tc>
      </w:tr>
      <w:tr w:rsidR="00B57429" w14:paraId="2F03F7B9" w14:textId="77777777">
        <w:trPr>
          <w:jc w:val="center"/>
        </w:trPr>
        <w:tc>
          <w:tcPr>
            <w:tcW w:w="2232" w:type="dxa"/>
          </w:tcPr>
          <w:p w14:paraId="50037D85" w14:textId="77777777" w:rsidR="00B57429" w:rsidRDefault="00296267">
            <w:r>
              <w:t>Identity</w:t>
            </w:r>
          </w:p>
        </w:tc>
        <w:tc>
          <w:tcPr>
            <w:tcW w:w="4320" w:type="dxa"/>
          </w:tcPr>
          <w:p w14:paraId="30F33A73" w14:textId="77777777" w:rsidR="00B57429" w:rsidRDefault="00296267">
            <w:r>
              <w:t>Keycloak, Authentik, Azure Entra demo, Okta developer environment</w:t>
            </w:r>
          </w:p>
        </w:tc>
        <w:tc>
          <w:tcPr>
            <w:tcW w:w="3528" w:type="dxa"/>
          </w:tcPr>
          <w:p w14:paraId="7E160D2A" w14:textId="77777777" w:rsidR="00B57429" w:rsidRDefault="00296267">
            <w:r>
              <w:t>Issue or simulate agent identity and delegated scope</w:t>
            </w:r>
          </w:p>
        </w:tc>
      </w:tr>
      <w:tr w:rsidR="00B57429" w14:paraId="16A4B883" w14:textId="77777777">
        <w:trPr>
          <w:jc w:val="center"/>
        </w:trPr>
        <w:tc>
          <w:tcPr>
            <w:tcW w:w="2232" w:type="dxa"/>
          </w:tcPr>
          <w:p w14:paraId="46434A99" w14:textId="77777777" w:rsidR="00B57429" w:rsidRDefault="00296267">
            <w:r>
              <w:t>Policy</w:t>
            </w:r>
          </w:p>
        </w:tc>
        <w:tc>
          <w:tcPr>
            <w:tcW w:w="4320" w:type="dxa"/>
          </w:tcPr>
          <w:p w14:paraId="1E91B9FC" w14:textId="77777777" w:rsidR="00B57429" w:rsidRDefault="00296267">
            <w:r>
              <w:t>Gateway-native policy, OPA, static policy files</w:t>
            </w:r>
          </w:p>
        </w:tc>
        <w:tc>
          <w:tcPr>
            <w:tcW w:w="3528" w:type="dxa"/>
          </w:tcPr>
          <w:p w14:paraId="5798A953" w14:textId="77777777" w:rsidR="00B57429" w:rsidRDefault="00296267">
            <w:r>
              <w:t>Express allow/block/rate-limit/degrade decisions</w:t>
            </w:r>
          </w:p>
        </w:tc>
      </w:tr>
      <w:tr w:rsidR="00B57429" w14:paraId="57BA3600" w14:textId="77777777">
        <w:trPr>
          <w:jc w:val="center"/>
        </w:trPr>
        <w:tc>
          <w:tcPr>
            <w:tcW w:w="2232" w:type="dxa"/>
          </w:tcPr>
          <w:p w14:paraId="48472785" w14:textId="77777777" w:rsidR="00B57429" w:rsidRDefault="00296267">
            <w:r>
              <w:lastRenderedPageBreak/>
              <w:t>Telemetry</w:t>
            </w:r>
          </w:p>
        </w:tc>
        <w:tc>
          <w:tcPr>
            <w:tcW w:w="4320" w:type="dxa"/>
          </w:tcPr>
          <w:p w14:paraId="6CC4006A" w14:textId="77777777" w:rsidR="00B57429" w:rsidRDefault="00296267">
            <w:r>
              <w:t>OpenTelemetry Collector</w:t>
            </w:r>
          </w:p>
        </w:tc>
        <w:tc>
          <w:tcPr>
            <w:tcW w:w="3528" w:type="dxa"/>
          </w:tcPr>
          <w:p w14:paraId="3650E050" w14:textId="77777777" w:rsidR="00B57429" w:rsidRDefault="00296267">
            <w:r>
              <w:t>Normalize metrics, traces, and events</w:t>
            </w:r>
          </w:p>
        </w:tc>
      </w:tr>
      <w:tr w:rsidR="00B57429" w14:paraId="5447F9DC" w14:textId="77777777">
        <w:trPr>
          <w:jc w:val="center"/>
        </w:trPr>
        <w:tc>
          <w:tcPr>
            <w:tcW w:w="2232" w:type="dxa"/>
          </w:tcPr>
          <w:p w14:paraId="1DB68F25" w14:textId="77777777" w:rsidR="00B57429" w:rsidRDefault="00296267">
            <w:r>
              <w:t>Logs / SIEM-like sink</w:t>
            </w:r>
          </w:p>
        </w:tc>
        <w:tc>
          <w:tcPr>
            <w:tcW w:w="4320" w:type="dxa"/>
          </w:tcPr>
          <w:p w14:paraId="7F9E3C8E" w14:textId="77777777" w:rsidR="00B57429" w:rsidRDefault="00296267">
            <w:r>
              <w:t>Loki/Grafana, Elastic, OpenSearch</w:t>
            </w:r>
          </w:p>
        </w:tc>
        <w:tc>
          <w:tcPr>
            <w:tcW w:w="3528" w:type="dxa"/>
          </w:tcPr>
          <w:p w14:paraId="748603AD" w14:textId="77777777" w:rsidR="00B57429" w:rsidRDefault="00296267">
            <w:r>
              <w:t>Store and query evidence</w:t>
            </w:r>
          </w:p>
        </w:tc>
      </w:tr>
      <w:tr w:rsidR="00B57429" w14:paraId="26BABE55" w14:textId="77777777">
        <w:trPr>
          <w:jc w:val="center"/>
        </w:trPr>
        <w:tc>
          <w:tcPr>
            <w:tcW w:w="2232" w:type="dxa"/>
          </w:tcPr>
          <w:p w14:paraId="68494A0E" w14:textId="77777777" w:rsidR="00B57429" w:rsidRDefault="00296267">
            <w:r>
              <w:t>Actuators</w:t>
            </w:r>
          </w:p>
        </w:tc>
        <w:tc>
          <w:tcPr>
            <w:tcW w:w="4320" w:type="dxa"/>
          </w:tcPr>
          <w:p w14:paraId="5EAAF2D2" w14:textId="77777777" w:rsidR="00B57429" w:rsidRDefault="00296267">
            <w:r>
              <w:t>Mock MCP server, file system tools, GitHub-like tools, case-management mock tools</w:t>
            </w:r>
          </w:p>
        </w:tc>
        <w:tc>
          <w:tcPr>
            <w:tcW w:w="3528" w:type="dxa"/>
          </w:tcPr>
          <w:p w14:paraId="5F32462B" w14:textId="77777777" w:rsidR="00B57429" w:rsidRDefault="00296267">
            <w:r>
              <w:t>Demonstrate protected actuator set</w:t>
            </w:r>
          </w:p>
        </w:tc>
      </w:tr>
      <w:tr w:rsidR="00B57429" w14:paraId="07FAE106" w14:textId="77777777">
        <w:trPr>
          <w:jc w:val="center"/>
        </w:trPr>
        <w:tc>
          <w:tcPr>
            <w:tcW w:w="2232" w:type="dxa"/>
          </w:tcPr>
          <w:p w14:paraId="65248D22" w14:textId="77777777" w:rsidR="00B57429" w:rsidRDefault="00296267">
            <w:r>
              <w:t>ProofRail harness</w:t>
            </w:r>
          </w:p>
        </w:tc>
        <w:tc>
          <w:tcPr>
            <w:tcW w:w="4320" w:type="dxa"/>
          </w:tcPr>
          <w:p w14:paraId="46472B6A" w14:textId="77777777" w:rsidR="00B57429" w:rsidRDefault="00296267">
            <w:r>
              <w:t>PAS hash, bypass tests, audit mapping, evidence bundle</w:t>
            </w:r>
          </w:p>
        </w:tc>
        <w:tc>
          <w:tcPr>
            <w:tcW w:w="3528" w:type="dxa"/>
          </w:tcPr>
          <w:p w14:paraId="33596816" w14:textId="77777777" w:rsidR="00B57429" w:rsidRDefault="00296267">
            <w:r>
              <w:t>Produce the Bronze claim</w:t>
            </w:r>
          </w:p>
        </w:tc>
      </w:tr>
    </w:tbl>
    <w:p w14:paraId="3E974C2A" w14:textId="77777777" w:rsidR="00B57429" w:rsidRDefault="00B57429"/>
    <w:p w14:paraId="4D51CECF" w14:textId="77777777" w:rsidR="00B57429" w:rsidRDefault="00296267">
      <w:pPr>
        <w:pStyle w:val="Heading2"/>
      </w:pPr>
      <w:r>
        <w:rPr>
          <w:b w:val="0"/>
        </w:rPr>
        <w:t>6.4 Composed Bronze Claim</w:t>
      </w:r>
    </w:p>
    <w:p w14:paraId="5677B616" w14:textId="77777777" w:rsidR="00B57429" w:rsidRDefault="00296267">
      <w:r>
        <w:t>A composed Bronze deployment should be able to say:</w:t>
      </w:r>
    </w:p>
    <w:p w14:paraId="4991507E" w14:textId="77777777" w:rsidR="00B57429" w:rsidRDefault="00296267">
      <w:pPr>
        <w:spacing w:before="80" w:after="80"/>
        <w:ind w:left="360" w:right="360"/>
      </w:pPr>
      <w:r>
        <w:rPr>
          <w:i/>
        </w:rPr>
        <w:t>This enterprise agent-control stack is ProofRail Bronze-conformant because protected agent actuation is declared, mediated, rate-limited, stoppable, bypass-tested, and auditable across the declared control surfaces.</w:t>
      </w:r>
    </w:p>
    <w:p w14:paraId="66C9DE31" w14:textId="77777777" w:rsidR="00B57429" w:rsidRDefault="00296267">
      <w:r>
        <w:t>The claim should include:</w:t>
      </w:r>
    </w:p>
    <w:p w14:paraId="695DF7A2" w14:textId="77777777" w:rsidR="00B57429" w:rsidRDefault="00296267">
      <w:pPr>
        <w:pStyle w:val="ListBullet"/>
      </w:pPr>
      <w:r>
        <w:t>protected actuator set manifest and hash;</w:t>
      </w:r>
    </w:p>
    <w:p w14:paraId="54F1E907" w14:textId="77777777" w:rsidR="00B57429" w:rsidRDefault="00296267">
      <w:pPr>
        <w:pStyle w:val="ListBullet"/>
      </w:pPr>
      <w:r>
        <w:t>gateway/control-point configuration snapshot;</w:t>
      </w:r>
    </w:p>
    <w:p w14:paraId="5F858FF3" w14:textId="77777777" w:rsidR="00B57429" w:rsidRDefault="00296267">
      <w:pPr>
        <w:pStyle w:val="ListBullet"/>
      </w:pPr>
      <w:r>
        <w:t>identity mapping;</w:t>
      </w:r>
    </w:p>
    <w:p w14:paraId="21F05863" w14:textId="77777777" w:rsidR="00B57429" w:rsidRDefault="00296267">
      <w:pPr>
        <w:pStyle w:val="ListBullet"/>
      </w:pPr>
      <w:r>
        <w:t>policy mapping;</w:t>
      </w:r>
    </w:p>
    <w:p w14:paraId="1C7B9227" w14:textId="77777777" w:rsidR="00B57429" w:rsidRDefault="00296267">
      <w:pPr>
        <w:pStyle w:val="ListBullet"/>
      </w:pPr>
      <w:r>
        <w:t>rate-limit/circuit-breaker configuration;</w:t>
      </w:r>
    </w:p>
    <w:p w14:paraId="4BA2A0E2" w14:textId="77777777" w:rsidR="00B57429" w:rsidRDefault="00296267">
      <w:pPr>
        <w:pStyle w:val="ListBullet"/>
      </w:pPr>
      <w:r>
        <w:t>emergency stop procedure and test output;</w:t>
      </w:r>
    </w:p>
    <w:p w14:paraId="3902D937" w14:textId="77777777" w:rsidR="00B57429" w:rsidRDefault="00296267">
      <w:pPr>
        <w:pStyle w:val="ListBullet"/>
      </w:pPr>
      <w:r>
        <w:t>bypass-prevention test output;</w:t>
      </w:r>
    </w:p>
    <w:p w14:paraId="3D53E806" w14:textId="77777777" w:rsidR="00B57429" w:rsidRDefault="00296267">
      <w:pPr>
        <w:pStyle w:val="ListBullet"/>
      </w:pPr>
      <w:r>
        <w:t>audit event samples;</w:t>
      </w:r>
    </w:p>
    <w:p w14:paraId="56F90E3D" w14:textId="77777777" w:rsidR="00B57429" w:rsidRDefault="00296267">
      <w:pPr>
        <w:pStyle w:val="ListBullet"/>
      </w:pPr>
      <w:r>
        <w:t>SIEM/log mapping;</w:t>
      </w:r>
    </w:p>
    <w:p w14:paraId="2BA40EC1" w14:textId="77777777" w:rsidR="00B57429" w:rsidRDefault="00296267">
      <w:pPr>
        <w:pStyle w:val="ListBullet"/>
      </w:pPr>
      <w:r>
        <w:t>performance evidence;</w:t>
      </w:r>
    </w:p>
    <w:p w14:paraId="4FD6DEB9" w14:textId="77777777" w:rsidR="00B57429" w:rsidRDefault="00296267">
      <w:pPr>
        <w:pStyle w:val="ListBullet"/>
      </w:pPr>
      <w:r>
        <w:t>runbook;</w:t>
      </w:r>
    </w:p>
    <w:p w14:paraId="012B4C88" w14:textId="64FC1EC4" w:rsidR="00B57429" w:rsidRDefault="00296267">
      <w:pPr>
        <w:pStyle w:val="ListBullet"/>
      </w:pPr>
      <w:r>
        <w:t>conformance claim YAML.</w:t>
      </w:r>
    </w:p>
    <w:p w14:paraId="7523B167" w14:textId="77777777" w:rsidR="00B57429" w:rsidRDefault="00296267">
      <w:pPr>
        <w:pStyle w:val="Heading2"/>
      </w:pPr>
      <w:r>
        <w:rPr>
          <w:b w:val="0"/>
        </w:rPr>
        <w:t>6.5 Composed Bronze Success Criteria</w:t>
      </w:r>
    </w:p>
    <w:p w14:paraId="7559BEDE" w14:textId="77777777" w:rsidR="00B57429" w:rsidRDefault="00296267">
      <w:r>
        <w:t>Composed Bronze succeeds if the same ProofRail evidence harness can be applied to at least two different enforcement substrates.</w:t>
      </w:r>
    </w:p>
    <w:p w14:paraId="0EFC392C" w14:textId="77777777" w:rsidR="00B57429" w:rsidRDefault="00296267">
      <w:r>
        <w:t>Minimum target:</w:t>
      </w:r>
    </w:p>
    <w:p w14:paraId="7D29FD76" w14:textId="6AB48918" w:rsidR="00B57429" w:rsidRDefault="00296267">
      <w:pPr>
        <w:ind w:left="360" w:hanging="360"/>
      </w:pPr>
      <w:r>
        <w:t xml:space="preserve">1. Open-source profile - ContextForge, Lasso MCP Gateway, or </w:t>
      </w:r>
      <w:r w:rsidR="000C0B23">
        <w:t xml:space="preserve">Linux Foundation </w:t>
      </w:r>
      <w:r>
        <w:t>agentgateway.</w:t>
      </w:r>
    </w:p>
    <w:p w14:paraId="4EED85B6" w14:textId="77777777" w:rsidR="00B57429" w:rsidRDefault="00296267">
      <w:pPr>
        <w:ind w:left="360" w:hanging="360"/>
      </w:pPr>
      <w:r>
        <w:t>2. Enterprise profile - Kong AI Gateway or another enterprise gateway.</w:t>
      </w:r>
    </w:p>
    <w:p w14:paraId="092F7C0D" w14:textId="77777777" w:rsidR="00B57429" w:rsidRDefault="00296267">
      <w:r>
        <w:t>The result should show:</w:t>
      </w:r>
    </w:p>
    <w:p w14:paraId="7DB6A588" w14:textId="77777777" w:rsidR="00B57429" w:rsidRDefault="00296267">
      <w:pPr>
        <w:pStyle w:val="ListBullet"/>
      </w:pPr>
      <w:r>
        <w:t>different enforcement substrate;</w:t>
      </w:r>
    </w:p>
    <w:p w14:paraId="62F9560E" w14:textId="77777777" w:rsidR="00B57429" w:rsidRDefault="00296267">
      <w:pPr>
        <w:pStyle w:val="ListBullet"/>
      </w:pPr>
      <w:r>
        <w:t>same protected actuator set model;</w:t>
      </w:r>
    </w:p>
    <w:p w14:paraId="12673679" w14:textId="77777777" w:rsidR="00B57429" w:rsidRDefault="00296267">
      <w:pPr>
        <w:pStyle w:val="ListBullet"/>
      </w:pPr>
      <w:r>
        <w:t>same evidence claim structure;</w:t>
      </w:r>
    </w:p>
    <w:p w14:paraId="1CA17C34" w14:textId="77777777" w:rsidR="00B57429" w:rsidRDefault="00296267">
      <w:pPr>
        <w:pStyle w:val="ListBullet"/>
      </w:pPr>
      <w:r>
        <w:t>same bypass-prevention logic;</w:t>
      </w:r>
    </w:p>
    <w:p w14:paraId="7A268BDD" w14:textId="77777777" w:rsidR="00B57429" w:rsidRDefault="00296267">
      <w:pPr>
        <w:pStyle w:val="ListBullet"/>
      </w:pPr>
      <w:r>
        <w:t>same audit mapping target;</w:t>
      </w:r>
    </w:p>
    <w:p w14:paraId="33D0873C" w14:textId="77777777" w:rsidR="00B57429" w:rsidRDefault="00296267">
      <w:pPr>
        <w:pStyle w:val="ListBullet"/>
      </w:pPr>
      <w:r>
        <w:t>same Bronze conformance vocabulary.</w:t>
      </w:r>
    </w:p>
    <w:p w14:paraId="61E0DCA4" w14:textId="77777777" w:rsidR="00B57429" w:rsidRDefault="00296267">
      <w:r>
        <w:br w:type="page"/>
      </w:r>
    </w:p>
    <w:p w14:paraId="0A7D633D" w14:textId="77777777" w:rsidR="00B57429" w:rsidRDefault="00296267">
      <w:pPr>
        <w:pStyle w:val="Heading1"/>
      </w:pPr>
      <w:r>
        <w:rPr>
          <w:b w:val="0"/>
        </w:rPr>
        <w:lastRenderedPageBreak/>
        <w:t>7. Relationship Between the Tracks</w:t>
      </w:r>
    </w:p>
    <w:p w14:paraId="0754BE9B" w14:textId="77777777" w:rsidR="00B57429" w:rsidRDefault="00296267">
      <w:r>
        <w:t>Native Bronze Preview and Composed Bronze serve different purposes.</w:t>
      </w:r>
    </w:p>
    <w:tbl>
      <w:tblPr>
        <w:tblStyle w:val="TableGrid"/>
        <w:tblW w:w="0" w:type="auto"/>
        <w:jc w:val="center"/>
        <w:tblLook w:val="04A0" w:firstRow="1" w:lastRow="0" w:firstColumn="1" w:lastColumn="0" w:noHBand="0" w:noVBand="1"/>
      </w:tblPr>
      <w:tblGrid>
        <w:gridCol w:w="4320"/>
        <w:gridCol w:w="2880"/>
        <w:gridCol w:w="2880"/>
      </w:tblGrid>
      <w:tr w:rsidR="00B57429" w14:paraId="1F208DCF" w14:textId="77777777">
        <w:trPr>
          <w:jc w:val="center"/>
        </w:trPr>
        <w:tc>
          <w:tcPr>
            <w:tcW w:w="4320" w:type="dxa"/>
            <w:shd w:val="clear" w:color="auto" w:fill="D9EAF7"/>
          </w:tcPr>
          <w:p w14:paraId="5920F090" w14:textId="77777777" w:rsidR="00B57429" w:rsidRDefault="00296267">
            <w:r>
              <w:rPr>
                <w:b/>
              </w:rPr>
              <w:t>Question</w:t>
            </w:r>
          </w:p>
        </w:tc>
        <w:tc>
          <w:tcPr>
            <w:tcW w:w="2880" w:type="dxa"/>
            <w:shd w:val="clear" w:color="auto" w:fill="D9EAF7"/>
          </w:tcPr>
          <w:p w14:paraId="5FB99D40" w14:textId="77777777" w:rsidR="00B57429" w:rsidRDefault="00296267">
            <w:r>
              <w:rPr>
                <w:b/>
              </w:rPr>
              <w:t>Native Bronze Preview</w:t>
            </w:r>
          </w:p>
        </w:tc>
        <w:tc>
          <w:tcPr>
            <w:tcW w:w="2880" w:type="dxa"/>
            <w:shd w:val="clear" w:color="auto" w:fill="D9EAF7"/>
          </w:tcPr>
          <w:p w14:paraId="6ED29164" w14:textId="77777777" w:rsidR="00B57429" w:rsidRDefault="00296267">
            <w:r>
              <w:rPr>
                <w:b/>
              </w:rPr>
              <w:t>Composed Bronze</w:t>
            </w:r>
          </w:p>
        </w:tc>
      </w:tr>
      <w:tr w:rsidR="00B57429" w14:paraId="52097867" w14:textId="77777777">
        <w:trPr>
          <w:jc w:val="center"/>
        </w:trPr>
        <w:tc>
          <w:tcPr>
            <w:tcW w:w="4320" w:type="dxa"/>
          </w:tcPr>
          <w:p w14:paraId="3EED0801" w14:textId="68DC3A7C" w:rsidR="00B57429" w:rsidRDefault="00296267">
            <w:r>
              <w:t xml:space="preserve">Can ProofRail </w:t>
            </w:r>
            <w:r w:rsidR="000017A4">
              <w:t xml:space="preserve">itself </w:t>
            </w:r>
            <w:r>
              <w:t>implement Bronze-like controls?</w:t>
            </w:r>
          </w:p>
        </w:tc>
        <w:tc>
          <w:tcPr>
            <w:tcW w:w="2880" w:type="dxa"/>
          </w:tcPr>
          <w:p w14:paraId="2658E4FB" w14:textId="77777777" w:rsidR="00B57429" w:rsidRDefault="00296267">
            <w:r>
              <w:t>Yes</w:t>
            </w:r>
          </w:p>
        </w:tc>
        <w:tc>
          <w:tcPr>
            <w:tcW w:w="2880" w:type="dxa"/>
          </w:tcPr>
          <w:p w14:paraId="3B554A20" w14:textId="77777777" w:rsidR="00B57429" w:rsidRDefault="00296267">
            <w:r>
              <w:t>Non-goal for Composed Bronze</w:t>
            </w:r>
          </w:p>
        </w:tc>
      </w:tr>
      <w:tr w:rsidR="00B57429" w14:paraId="0DB3AEAF" w14:textId="77777777">
        <w:trPr>
          <w:jc w:val="center"/>
        </w:trPr>
        <w:tc>
          <w:tcPr>
            <w:tcW w:w="4320" w:type="dxa"/>
          </w:tcPr>
          <w:p w14:paraId="505CEBE5" w14:textId="77777777" w:rsidR="00B57429" w:rsidRDefault="00296267">
            <w:r>
              <w:t>Can enterprises avoid gateway/vendor lock-in?</w:t>
            </w:r>
          </w:p>
        </w:tc>
        <w:tc>
          <w:tcPr>
            <w:tcW w:w="2880" w:type="dxa"/>
          </w:tcPr>
          <w:p w14:paraId="17D2A049" w14:textId="77777777" w:rsidR="00B57429" w:rsidRDefault="00296267">
            <w:r>
              <w:t>Indirectly</w:t>
            </w:r>
          </w:p>
        </w:tc>
        <w:tc>
          <w:tcPr>
            <w:tcW w:w="2880" w:type="dxa"/>
          </w:tcPr>
          <w:p w14:paraId="065BE02C" w14:textId="77777777" w:rsidR="00B57429" w:rsidRDefault="00296267">
            <w:r>
              <w:t>Yes</w:t>
            </w:r>
          </w:p>
        </w:tc>
      </w:tr>
      <w:tr w:rsidR="00B57429" w14:paraId="70C3F0F9" w14:textId="77777777">
        <w:trPr>
          <w:jc w:val="center"/>
        </w:trPr>
        <w:tc>
          <w:tcPr>
            <w:tcW w:w="4320" w:type="dxa"/>
          </w:tcPr>
          <w:p w14:paraId="414139FA" w14:textId="77777777" w:rsidR="00B57429" w:rsidRDefault="00296267">
            <w:r>
              <w:t>Does it build technical credibility?</w:t>
            </w:r>
          </w:p>
        </w:tc>
        <w:tc>
          <w:tcPr>
            <w:tcW w:w="2880" w:type="dxa"/>
          </w:tcPr>
          <w:p w14:paraId="7E5A13D1" w14:textId="77777777" w:rsidR="00B57429" w:rsidRDefault="00296267">
            <w:r>
              <w:t>Yes</w:t>
            </w:r>
          </w:p>
        </w:tc>
        <w:tc>
          <w:tcPr>
            <w:tcW w:w="2880" w:type="dxa"/>
          </w:tcPr>
          <w:p w14:paraId="60B73D9F" w14:textId="77777777" w:rsidR="00B57429" w:rsidRDefault="00296267">
            <w:r>
              <w:t>Yes</w:t>
            </w:r>
          </w:p>
        </w:tc>
      </w:tr>
      <w:tr w:rsidR="00B57429" w14:paraId="05836E19" w14:textId="77777777">
        <w:trPr>
          <w:jc w:val="center"/>
        </w:trPr>
        <w:tc>
          <w:tcPr>
            <w:tcW w:w="4320" w:type="dxa"/>
          </w:tcPr>
          <w:p w14:paraId="28007619" w14:textId="77777777" w:rsidR="00B57429" w:rsidRDefault="00296267">
            <w:r>
              <w:t>Does it support conformance positioning?</w:t>
            </w:r>
          </w:p>
        </w:tc>
        <w:tc>
          <w:tcPr>
            <w:tcW w:w="2880" w:type="dxa"/>
          </w:tcPr>
          <w:p w14:paraId="34BF5774" w14:textId="77777777" w:rsidR="00B57429" w:rsidRDefault="00296267">
            <w:r>
              <w:t>Partially</w:t>
            </w:r>
          </w:p>
        </w:tc>
        <w:tc>
          <w:tcPr>
            <w:tcW w:w="2880" w:type="dxa"/>
          </w:tcPr>
          <w:p w14:paraId="2B8AC3BA" w14:textId="77777777" w:rsidR="00B57429" w:rsidRDefault="00296267">
            <w:r>
              <w:t>Strongly</w:t>
            </w:r>
          </w:p>
        </w:tc>
      </w:tr>
      <w:tr w:rsidR="00B57429" w14:paraId="4DB6246C" w14:textId="77777777">
        <w:trPr>
          <w:jc w:val="center"/>
        </w:trPr>
        <w:tc>
          <w:tcPr>
            <w:tcW w:w="4320" w:type="dxa"/>
          </w:tcPr>
          <w:p w14:paraId="1E23590D" w14:textId="77777777" w:rsidR="00B57429" w:rsidRDefault="00296267">
            <w:r>
              <w:t>Does it risk competing with vendors?</w:t>
            </w:r>
          </w:p>
        </w:tc>
        <w:tc>
          <w:tcPr>
            <w:tcW w:w="2880" w:type="dxa"/>
          </w:tcPr>
          <w:p w14:paraId="4D1C0264" w14:textId="77777777" w:rsidR="00B57429" w:rsidRDefault="00296267">
            <w:r>
              <w:t>More</w:t>
            </w:r>
          </w:p>
        </w:tc>
        <w:tc>
          <w:tcPr>
            <w:tcW w:w="2880" w:type="dxa"/>
          </w:tcPr>
          <w:p w14:paraId="469498C9" w14:textId="77777777" w:rsidR="00B57429" w:rsidRDefault="00296267">
            <w:r>
              <w:t>Less</w:t>
            </w:r>
          </w:p>
        </w:tc>
      </w:tr>
      <w:tr w:rsidR="00B57429" w14:paraId="3CEF0F0E" w14:textId="77777777">
        <w:trPr>
          <w:jc w:val="center"/>
        </w:trPr>
        <w:tc>
          <w:tcPr>
            <w:tcW w:w="4320" w:type="dxa"/>
          </w:tcPr>
          <w:p w14:paraId="5FA00F0F" w14:textId="77777777" w:rsidR="00B57429" w:rsidRDefault="00296267">
            <w:r>
              <w:t>Does it prepare for Silver?</w:t>
            </w:r>
          </w:p>
        </w:tc>
        <w:tc>
          <w:tcPr>
            <w:tcW w:w="2880" w:type="dxa"/>
          </w:tcPr>
          <w:p w14:paraId="1A6EABC3" w14:textId="77777777" w:rsidR="00B57429" w:rsidRDefault="00296267">
            <w:r>
              <w:t>Moderately</w:t>
            </w:r>
          </w:p>
        </w:tc>
        <w:tc>
          <w:tcPr>
            <w:tcW w:w="2880" w:type="dxa"/>
          </w:tcPr>
          <w:p w14:paraId="22C00E3D" w14:textId="77777777" w:rsidR="00B57429" w:rsidRDefault="00296267">
            <w:r>
              <w:t>Strongly</w:t>
            </w:r>
          </w:p>
        </w:tc>
      </w:tr>
    </w:tbl>
    <w:p w14:paraId="3A215E35" w14:textId="77777777" w:rsidR="00B57429" w:rsidRDefault="00B57429"/>
    <w:p w14:paraId="2D27F417" w14:textId="77777777" w:rsidR="00B57429" w:rsidRDefault="00296267">
      <w:r>
        <w:t>The two tracks should share:</w:t>
      </w:r>
    </w:p>
    <w:p w14:paraId="70CBF237" w14:textId="77777777" w:rsidR="00B57429" w:rsidRDefault="00296267">
      <w:pPr>
        <w:pStyle w:val="ListBullet"/>
      </w:pPr>
      <w:r>
        <w:t>protected actuator set format;</w:t>
      </w:r>
    </w:p>
    <w:p w14:paraId="5B181C58" w14:textId="77777777" w:rsidR="00B57429" w:rsidRDefault="00296267">
      <w:pPr>
        <w:pStyle w:val="ListBullet"/>
      </w:pPr>
      <w:r>
        <w:t>audit schema;</w:t>
      </w:r>
    </w:p>
    <w:p w14:paraId="47043941" w14:textId="77777777" w:rsidR="00B57429" w:rsidRDefault="00296267">
      <w:pPr>
        <w:pStyle w:val="ListBullet"/>
      </w:pPr>
      <w:r>
        <w:t>risk tier vocabulary;</w:t>
      </w:r>
    </w:p>
    <w:p w14:paraId="081551ED" w14:textId="77777777" w:rsidR="00B57429" w:rsidRDefault="00296267">
      <w:pPr>
        <w:pStyle w:val="ListBullet"/>
      </w:pPr>
      <w:r>
        <w:t>emergency stop semantics;</w:t>
      </w:r>
    </w:p>
    <w:p w14:paraId="34F4A65F" w14:textId="77777777" w:rsidR="00B57429" w:rsidRDefault="00296267">
      <w:pPr>
        <w:pStyle w:val="ListBullet"/>
      </w:pPr>
      <w:r>
        <w:t>bypass-prevention tests;</w:t>
      </w:r>
    </w:p>
    <w:p w14:paraId="289F69F9" w14:textId="77777777" w:rsidR="00B57429" w:rsidRDefault="00296267">
      <w:pPr>
        <w:pStyle w:val="ListBullet"/>
      </w:pPr>
      <w:r>
        <w:t>conformance claim format;</w:t>
      </w:r>
    </w:p>
    <w:p w14:paraId="06B138AC" w14:textId="77777777" w:rsidR="00B57429" w:rsidRDefault="00296267">
      <w:pPr>
        <w:pStyle w:val="ListBullet"/>
      </w:pPr>
      <w:r>
        <w:t>evidence bundle structure.</w:t>
      </w:r>
    </w:p>
    <w:p w14:paraId="57D7CF56" w14:textId="77777777" w:rsidR="00B57429" w:rsidRDefault="00296267">
      <w:r>
        <w:t>They should not be forced into one runtime architecture.</w:t>
      </w:r>
    </w:p>
    <w:p w14:paraId="0D3A0092" w14:textId="6A925374" w:rsidR="00B57429" w:rsidRDefault="00296267">
      <w:r>
        <w:t xml:space="preserve">Composed Bronze does not require enforcement components to be supplied by ProofRail. It requires that the composed stack </w:t>
      </w:r>
      <w:r w:rsidR="009310E1">
        <w:t xml:space="preserve">be able to </w:t>
      </w:r>
      <w:r>
        <w:t>support the Bronze claim. Native Bronze Preview remains the ProofRail-supplied reference implementation path.</w:t>
      </w:r>
    </w:p>
    <w:p w14:paraId="05348ADA" w14:textId="77777777" w:rsidR="00B57429" w:rsidRDefault="00296267">
      <w:pPr>
        <w:pStyle w:val="Heading1"/>
      </w:pPr>
      <w:r>
        <w:rPr>
          <w:b w:val="0"/>
        </w:rPr>
        <w:t>8. Bronze Boundary</w:t>
      </w:r>
    </w:p>
    <w:p w14:paraId="4BBF8E4F" w14:textId="77777777" w:rsidR="00B57429" w:rsidRDefault="00296267">
      <w:r>
        <w:t>Bronze is still enterprise-local (internal to a single enterprise).</w:t>
      </w:r>
    </w:p>
    <w:p w14:paraId="0EC3409F" w14:textId="77777777" w:rsidR="00B57429" w:rsidRDefault="00296267">
      <w:r>
        <w:t>Bronze should answer:</w:t>
      </w:r>
    </w:p>
    <w:p w14:paraId="7392D805" w14:textId="77777777" w:rsidR="00B57429" w:rsidRDefault="00296267">
      <w:pPr>
        <w:spacing w:before="80" w:after="80"/>
        <w:ind w:left="360" w:right="360"/>
      </w:pPr>
      <w:r>
        <w:rPr>
          <w:i/>
        </w:rPr>
        <w:t>Can one enterprise control its own agentic stack across declared surfaces?</w:t>
      </w:r>
    </w:p>
    <w:p w14:paraId="637623DC" w14:textId="77777777" w:rsidR="00B57429" w:rsidRDefault="00296267">
      <w:r>
        <w:t>The following requirements are out of scope for Bronze:</w:t>
      </w:r>
    </w:p>
    <w:p w14:paraId="464AAC6D" w14:textId="77777777" w:rsidR="00B57429" w:rsidRDefault="00296267">
      <w:pPr>
        <w:pStyle w:val="ListBullet"/>
      </w:pPr>
      <w:r>
        <w:t>cross-enterprise revocation;</w:t>
      </w:r>
    </w:p>
    <w:p w14:paraId="39C5B4F4" w14:textId="77777777" w:rsidR="00B57429" w:rsidRDefault="00296267">
      <w:pPr>
        <w:pStyle w:val="ListBullet"/>
      </w:pPr>
      <w:r>
        <w:t>federated proof bundles;</w:t>
      </w:r>
    </w:p>
    <w:p w14:paraId="70BBC8EF" w14:textId="77777777" w:rsidR="00B57429" w:rsidRDefault="00296267">
      <w:pPr>
        <w:pStyle w:val="ListBullet"/>
      </w:pPr>
      <w:r>
        <w:t>shared club governance;</w:t>
      </w:r>
    </w:p>
    <w:p w14:paraId="6F185FEC" w14:textId="77777777" w:rsidR="00B57429" w:rsidRDefault="00296267">
      <w:pPr>
        <w:pStyle w:val="ListBullet"/>
      </w:pPr>
      <w:r>
        <w:t>multi-organization incident response;</w:t>
      </w:r>
    </w:p>
    <w:p w14:paraId="1524DE8B" w14:textId="77777777" w:rsidR="00B57429" w:rsidRDefault="00296267">
      <w:pPr>
        <w:pStyle w:val="ListBullet"/>
      </w:pPr>
      <w:r>
        <w:t>regulator-operated dashboards;</w:t>
      </w:r>
    </w:p>
    <w:p w14:paraId="427A2D13" w14:textId="77777777" w:rsidR="00B57429" w:rsidRDefault="00296267">
      <w:pPr>
        <w:pStyle w:val="ListBullet"/>
      </w:pPr>
      <w:r>
        <w:t>public-interest telemetry;</w:t>
      </w:r>
    </w:p>
    <w:p w14:paraId="641FFCAE" w14:textId="77777777" w:rsidR="00B57429" w:rsidRDefault="00296267">
      <w:pPr>
        <w:pStyle w:val="ListBullet"/>
      </w:pPr>
      <w:r>
        <w:t>ecosystem-wide emergency powers.</w:t>
      </w:r>
    </w:p>
    <w:p w14:paraId="3A2D83B1" w14:textId="77777777" w:rsidR="00B57429" w:rsidRDefault="00296267">
      <w:r>
        <w:t>These belong to later tiers such as Silver, Gold, and Platinum.</w:t>
      </w:r>
    </w:p>
    <w:p w14:paraId="7F21E707" w14:textId="77777777" w:rsidR="00B57429" w:rsidRDefault="00296267">
      <w:r>
        <w:t>A clean tier boundary is:</w:t>
      </w:r>
    </w:p>
    <w:p w14:paraId="52A8ED8E" w14:textId="2F4A6848" w:rsidR="00B57429" w:rsidRDefault="00951FEE">
      <w:pPr>
        <w:pStyle w:val="ListBullet"/>
      </w:pPr>
      <w:r>
        <w:lastRenderedPageBreak/>
        <w:t>Iron-plus</w:t>
      </w:r>
      <w:r w:rsidR="00296267">
        <w:t>: one controlled MCP surface, live reference implementation, evidence-closed.</w:t>
      </w:r>
    </w:p>
    <w:p w14:paraId="35AE3DB9" w14:textId="3D17342B" w:rsidR="00B57429" w:rsidRDefault="00296267">
      <w:pPr>
        <w:pStyle w:val="ListBullet"/>
      </w:pPr>
      <w:r>
        <w:t xml:space="preserve">Bronze Preview: ProofRail-native extension </w:t>
      </w:r>
      <w:r w:rsidR="00AB4832">
        <w:t>implementing</w:t>
      </w:r>
      <w:r>
        <w:t xml:space="preserve"> </w:t>
      </w:r>
      <w:r w:rsidR="00701410">
        <w:t xml:space="preserve">curated set of </w:t>
      </w:r>
      <w:r>
        <w:t>enterprise capabilities.</w:t>
      </w:r>
    </w:p>
    <w:p w14:paraId="7882B393" w14:textId="77777777" w:rsidR="00B57429" w:rsidRDefault="00296267">
      <w:pPr>
        <w:pStyle w:val="ListBullet"/>
      </w:pPr>
      <w:r>
        <w:t>Composed Bronze: vendor-neutral enterprise stack conformance.</w:t>
      </w:r>
    </w:p>
    <w:p w14:paraId="493018A5" w14:textId="77777777" w:rsidR="00B57429" w:rsidRDefault="00296267">
      <w:pPr>
        <w:pStyle w:val="ListBullet"/>
      </w:pPr>
      <w:r>
        <w:t>Silver: cross-vendor and cross-organization trust, delegation, revocation, and evidence semantics.</w:t>
      </w:r>
    </w:p>
    <w:p w14:paraId="552E50BA" w14:textId="02E64D34" w:rsidR="00B57429" w:rsidRDefault="00296267">
      <w:pPr>
        <w:pStyle w:val="ListBullet"/>
      </w:pPr>
      <w:r>
        <w:t xml:space="preserve">Gold: </w:t>
      </w:r>
      <w:r w:rsidR="00C165E9">
        <w:t>“</w:t>
      </w:r>
      <w:r>
        <w:t>club</w:t>
      </w:r>
      <w:r w:rsidR="00C165E9">
        <w:t>”</w:t>
      </w:r>
      <w:r>
        <w:t xml:space="preserve"> governance for network-level agent risk.</w:t>
      </w:r>
    </w:p>
    <w:p w14:paraId="6CDBC0CA" w14:textId="77777777" w:rsidR="00B57429" w:rsidRDefault="00296267">
      <w:pPr>
        <w:pStyle w:val="ListBullet"/>
      </w:pPr>
      <w:r>
        <w:t>Platinum: public or quasi-public governance supporting management of societal-scale agentic infrastructure risks.</w:t>
      </w:r>
    </w:p>
    <w:p w14:paraId="458001B0" w14:textId="77777777" w:rsidR="00B57429" w:rsidRDefault="00296267">
      <w:pPr>
        <w:pStyle w:val="Heading1"/>
      </w:pPr>
      <w:r>
        <w:rPr>
          <w:b w:val="0"/>
        </w:rPr>
        <w:t>9. Bronze Evidence Model</w:t>
      </w:r>
    </w:p>
    <w:p w14:paraId="5ACDA3F6" w14:textId="1D03C940" w:rsidR="00B57429" w:rsidRDefault="00296267">
      <w:r>
        <w:t xml:space="preserve">Bronze should preserve the evidence-first discipline established in </w:t>
      </w:r>
      <w:r w:rsidR="00951FEE">
        <w:t>Iron-plus</w:t>
      </w:r>
      <w:r>
        <w:t>.</w:t>
      </w:r>
    </w:p>
    <w:p w14:paraId="1E180B35" w14:textId="77777777" w:rsidR="00B57429" w:rsidRDefault="00296267">
      <w:r>
        <w:t>Every Bronze claim should answer:</w:t>
      </w:r>
    </w:p>
    <w:p w14:paraId="1B72A6E1" w14:textId="77777777" w:rsidR="00B57429" w:rsidRDefault="00296267">
      <w:pPr>
        <w:ind w:left="360" w:hanging="360"/>
      </w:pPr>
      <w:r>
        <w:t xml:space="preserve">1. </w:t>
      </w:r>
      <w:r>
        <w:rPr>
          <w:b/>
        </w:rPr>
        <w:t xml:space="preserve">What is being protected? </w:t>
      </w:r>
      <w:r>
        <w:t>Protected actuator set, declared surface, upstream targets.</w:t>
      </w:r>
    </w:p>
    <w:p w14:paraId="1878C92D" w14:textId="77777777" w:rsidR="00B57429" w:rsidRDefault="00296267">
      <w:pPr>
        <w:ind w:left="360" w:hanging="360"/>
      </w:pPr>
      <w:r>
        <w:t xml:space="preserve">2. </w:t>
      </w:r>
      <w:r>
        <w:rPr>
          <w:b/>
        </w:rPr>
        <w:t xml:space="preserve">Who or what is acting? </w:t>
      </w:r>
      <w:r>
        <w:t>Agent identity, human principal/sponsor, runtime identity, identity confidence.</w:t>
      </w:r>
    </w:p>
    <w:p w14:paraId="6CCA891A" w14:textId="77777777" w:rsidR="00B57429" w:rsidRDefault="00296267">
      <w:pPr>
        <w:ind w:left="360" w:hanging="360"/>
      </w:pPr>
      <w:r>
        <w:t xml:space="preserve">3. </w:t>
      </w:r>
      <w:r>
        <w:rPr>
          <w:b/>
        </w:rPr>
        <w:t xml:space="preserve">Where is enforcement applied? </w:t>
      </w:r>
      <w:r>
        <w:t>ProofRail-native proxy, vendor gateway, service mesh, API gateway, or other control point.</w:t>
      </w:r>
    </w:p>
    <w:p w14:paraId="30FAAEC5" w14:textId="77777777" w:rsidR="00B57429" w:rsidRDefault="00296267">
      <w:pPr>
        <w:ind w:left="360" w:hanging="360"/>
      </w:pPr>
      <w:r>
        <w:t xml:space="preserve">4. </w:t>
      </w:r>
      <w:r>
        <w:rPr>
          <w:b/>
        </w:rPr>
        <w:t xml:space="preserve">Can the agent bypass the control? </w:t>
      </w:r>
      <w:r>
        <w:t>Network isolation, credential placement, bypass script, direct-upstream failure evidence.</w:t>
      </w:r>
    </w:p>
    <w:p w14:paraId="1C0F8D04" w14:textId="77777777" w:rsidR="00B57429" w:rsidRDefault="00296267">
      <w:pPr>
        <w:ind w:left="360" w:hanging="360"/>
      </w:pPr>
      <w:r>
        <w:t xml:space="preserve">5. </w:t>
      </w:r>
      <w:r>
        <w:rPr>
          <w:b/>
        </w:rPr>
        <w:t xml:space="preserve">What decisions were made? </w:t>
      </w:r>
      <w:r>
        <w:t>Allow, block, degrade, rate-limit, require approval, emergency stop.</w:t>
      </w:r>
    </w:p>
    <w:p w14:paraId="1BA196F1" w14:textId="77777777" w:rsidR="00B57429" w:rsidRDefault="00296267">
      <w:pPr>
        <w:ind w:left="360" w:hanging="360"/>
      </w:pPr>
      <w:r>
        <w:t xml:space="preserve">6. </w:t>
      </w:r>
      <w:r>
        <w:rPr>
          <w:b/>
        </w:rPr>
        <w:t xml:space="preserve">Can evidence be audited? </w:t>
      </w:r>
      <w:r>
        <w:t>Audit fields, correlation IDs, SIEM mapping, integrity hash chain or equivalent.</w:t>
      </w:r>
    </w:p>
    <w:p w14:paraId="21284FC7" w14:textId="77777777" w:rsidR="00B57429" w:rsidRDefault="00296267">
      <w:pPr>
        <w:ind w:left="360" w:hanging="360"/>
      </w:pPr>
      <w:r>
        <w:t xml:space="preserve">7. </w:t>
      </w:r>
      <w:r>
        <w:rPr>
          <w:b/>
        </w:rPr>
        <w:t xml:space="preserve">Can operations stop the system? </w:t>
      </w:r>
      <w:r>
        <w:t>Emergency stop path, authorized operator, test result, resume procedure.</w:t>
      </w:r>
    </w:p>
    <w:p w14:paraId="22894FEC" w14:textId="77777777" w:rsidR="00B57429" w:rsidRDefault="00296267">
      <w:pPr>
        <w:ind w:left="360" w:hanging="360"/>
      </w:pPr>
      <w:r>
        <w:t xml:space="preserve">8. </w:t>
      </w:r>
      <w:r>
        <w:rPr>
          <w:b/>
        </w:rPr>
        <w:t xml:space="preserve">What happens under stress or partial failure? </w:t>
      </w:r>
      <w:r>
        <w:t>Degradation mode, safe-mode behavior, audit sink failure behavior, retry queue.</w:t>
      </w:r>
    </w:p>
    <w:p w14:paraId="08CBE748" w14:textId="77777777" w:rsidR="00B57429" w:rsidRDefault="00296267">
      <w:pPr>
        <w:ind w:left="360" w:hanging="360"/>
      </w:pPr>
      <w:r>
        <w:t xml:space="preserve">9. </w:t>
      </w:r>
      <w:r>
        <w:rPr>
          <w:b/>
        </w:rPr>
        <w:t xml:space="preserve">What performance was observed? </w:t>
      </w:r>
      <w:r>
        <w:t>Added latency, error rate, throughput profile, test method.</w:t>
      </w:r>
    </w:p>
    <w:p w14:paraId="117460C5" w14:textId="77777777" w:rsidR="00B57429" w:rsidRDefault="00296267">
      <w:pPr>
        <w:ind w:left="360" w:hanging="360"/>
      </w:pPr>
      <w:r>
        <w:t xml:space="preserve">10. </w:t>
      </w:r>
      <w:r>
        <w:rPr>
          <w:b/>
        </w:rPr>
        <w:t xml:space="preserve">Who owns the claim? </w:t>
      </w:r>
      <w:r>
        <w:t>Platform owner, security owner, system owner, incident owner.</w:t>
      </w:r>
    </w:p>
    <w:p w14:paraId="38B10E1A" w14:textId="77777777" w:rsidR="00B57429" w:rsidRDefault="00296267">
      <w:pPr>
        <w:pStyle w:val="Heading1"/>
      </w:pPr>
      <w:r>
        <w:rPr>
          <w:b w:val="0"/>
        </w:rPr>
        <w:t>10. Bronze Anti-Patterns</w:t>
      </w:r>
    </w:p>
    <w:p w14:paraId="7B76DF8C" w14:textId="77777777" w:rsidR="00B57429" w:rsidRDefault="00296267">
      <w:r>
        <w:t>Bronze should also define what does not count as a credible agent-control claim. The following anti-patterns should be treated as warning signs during demos, reviews, and future conformance assessments:</w:t>
      </w:r>
    </w:p>
    <w:p w14:paraId="1A6AF17A" w14:textId="77777777" w:rsidR="00B57429" w:rsidRDefault="00296267">
      <w:pPr>
        <w:pStyle w:val="ListBullet"/>
      </w:pPr>
      <w:r>
        <w:t>Treating gateway logs as equivalent to control.</w:t>
      </w:r>
    </w:p>
    <w:p w14:paraId="13BE934A" w14:textId="77777777" w:rsidR="00B57429" w:rsidRDefault="00296267">
      <w:pPr>
        <w:pStyle w:val="ListBullet"/>
      </w:pPr>
      <w:r>
        <w:t>Claiming Bronze without bypass-prevention evidence.</w:t>
      </w:r>
    </w:p>
    <w:p w14:paraId="112539AE" w14:textId="77777777" w:rsidR="00B57429" w:rsidRDefault="00296267">
      <w:pPr>
        <w:pStyle w:val="ListBullet"/>
      </w:pPr>
      <w:r>
        <w:t>Claiming Bronze without a declared protected actuator set.</w:t>
      </w:r>
    </w:p>
    <w:p w14:paraId="5C2279BD" w14:textId="77777777" w:rsidR="00B57429" w:rsidRDefault="00296267">
      <w:pPr>
        <w:pStyle w:val="ListBullet"/>
      </w:pPr>
      <w:r>
        <w:t>Allowing agent runtimes to hold upstream actuator credentials directly.</w:t>
      </w:r>
    </w:p>
    <w:p w14:paraId="31A523F9" w14:textId="77777777" w:rsidR="00B57429" w:rsidRDefault="00296267">
      <w:pPr>
        <w:pStyle w:val="ListBullet"/>
      </w:pPr>
      <w:r>
        <w:t>Treating public vendor marketing claims as conformance evidence.</w:t>
      </w:r>
    </w:p>
    <w:p w14:paraId="2761D8E8" w14:textId="77777777" w:rsidR="00B57429" w:rsidRDefault="00296267">
      <w:pPr>
        <w:pStyle w:val="ListBullet"/>
      </w:pPr>
      <w:r>
        <w:t>Mixing too many vendors in the first composed demo.</w:t>
      </w:r>
    </w:p>
    <w:p w14:paraId="6FCB00C3" w14:textId="77777777" w:rsidR="00B57429" w:rsidRDefault="00296267">
      <w:pPr>
        <w:pStyle w:val="ListBullet"/>
      </w:pPr>
      <w:r>
        <w:t>Building a full enterprise gateway inside ProofRail.</w:t>
      </w:r>
    </w:p>
    <w:p w14:paraId="59E939CA" w14:textId="77777777" w:rsidR="00B57429" w:rsidRDefault="00296267">
      <w:pPr>
        <w:pStyle w:val="ListBullet"/>
      </w:pPr>
      <w:r>
        <w:t>Equating prompt/content guardrails with actuation control.</w:t>
      </w:r>
    </w:p>
    <w:p w14:paraId="635AEB73" w14:textId="77777777" w:rsidR="00B57429" w:rsidRDefault="00296267">
      <w:pPr>
        <w:pStyle w:val="ListBullet"/>
      </w:pPr>
      <w:r>
        <w:lastRenderedPageBreak/>
        <w:t>Ignoring degradation behavior when audit, identity, or policy services fail.</w:t>
      </w:r>
    </w:p>
    <w:p w14:paraId="3207784A" w14:textId="77777777" w:rsidR="00B57429" w:rsidRDefault="00296267">
      <w:pPr>
        <w:pStyle w:val="ListBullet"/>
      </w:pPr>
      <w:r>
        <w:t>Leaving ownership and runbooks undefined.</w:t>
      </w:r>
    </w:p>
    <w:p w14:paraId="639E7CBB" w14:textId="77777777" w:rsidR="00B57429" w:rsidRDefault="00296267">
      <w:r>
        <w:t>The anti-patterns are not merely implementation concerns. They help preserve the central distinction between agent-security tooling and ProofRail conformance evidence.</w:t>
      </w:r>
    </w:p>
    <w:p w14:paraId="52240792" w14:textId="77777777" w:rsidR="00B57429" w:rsidRDefault="00296267">
      <w:pPr>
        <w:pStyle w:val="Heading1"/>
      </w:pPr>
      <w:r>
        <w:rPr>
          <w:b w:val="0"/>
        </w:rPr>
        <w:t>11. First Substrate Selection Criteria</w:t>
      </w:r>
    </w:p>
    <w:p w14:paraId="4B434C9F" w14:textId="77777777" w:rsidR="00B57429" w:rsidRDefault="00296267">
      <w:r>
        <w:t>The first composed Bronze substrate should be selected for reproducibility and evidence quality, not for vendor prestige. The first demo should be small enough to finish quickly and clear enough to prove the portability of the ProofRail claim.</w:t>
      </w:r>
    </w:p>
    <w:p w14:paraId="6FDF4EC5" w14:textId="77777777" w:rsidR="00B57429" w:rsidRDefault="00296267">
      <w:r>
        <w:t>The first substrate should:</w:t>
      </w:r>
    </w:p>
    <w:p w14:paraId="64DDC1B1" w14:textId="77777777" w:rsidR="00B57429" w:rsidRDefault="00296267">
      <w:pPr>
        <w:pStyle w:val="ListBullet"/>
      </w:pPr>
      <w:r>
        <w:t>run locally or in Docker;</w:t>
      </w:r>
    </w:p>
    <w:p w14:paraId="2A5C9352" w14:textId="77777777" w:rsidR="00B57429" w:rsidRDefault="00296267">
      <w:pPr>
        <w:pStyle w:val="ListBullet"/>
      </w:pPr>
      <w:r>
        <w:t>support MCP mediation or proxying;</w:t>
      </w:r>
    </w:p>
    <w:p w14:paraId="3C8C7978" w14:textId="77777777" w:rsidR="00B57429" w:rsidRDefault="00296267">
      <w:pPr>
        <w:pStyle w:val="ListBullet"/>
      </w:pPr>
      <w:r>
        <w:t>expose logs or events that can be mapped to ProofRail audit fields;</w:t>
      </w:r>
    </w:p>
    <w:p w14:paraId="741CD1C6" w14:textId="77777777" w:rsidR="00B57429" w:rsidRDefault="00296267">
      <w:pPr>
        <w:pStyle w:val="ListBullet"/>
      </w:pPr>
      <w:r>
        <w:t>allow basic policy enforcement or at least tool allow/block behavior;</w:t>
      </w:r>
    </w:p>
    <w:p w14:paraId="10A88953" w14:textId="77777777" w:rsidR="00B57429" w:rsidRDefault="00296267">
      <w:pPr>
        <w:pStyle w:val="ListBullet"/>
      </w:pPr>
      <w:r>
        <w:t>support or permit a bypass-prevention test;</w:t>
      </w:r>
    </w:p>
    <w:p w14:paraId="2CA8FA50" w14:textId="77777777" w:rsidR="00B57429" w:rsidRDefault="00296267">
      <w:pPr>
        <w:pStyle w:val="ListBullet"/>
      </w:pPr>
      <w:r>
        <w:t>avoid dependence on paid enterprise access;</w:t>
      </w:r>
    </w:p>
    <w:p w14:paraId="69979BA3" w14:textId="77777777" w:rsidR="00B57429" w:rsidRDefault="00296267">
      <w:pPr>
        <w:pStyle w:val="ListBullet"/>
      </w:pPr>
      <w:r>
        <w:t>be understandable enough to explain in a short demo;</w:t>
      </w:r>
    </w:p>
    <w:p w14:paraId="783AAE7A" w14:textId="77777777" w:rsidR="00B57429" w:rsidRDefault="00296267">
      <w:pPr>
        <w:pStyle w:val="ListBullet"/>
      </w:pPr>
      <w:r>
        <w:t>be replaceable by a second substrate without changing the ProofRail claim format.</w:t>
      </w:r>
    </w:p>
    <w:p w14:paraId="7E447E98" w14:textId="77777777" w:rsidR="00B57429" w:rsidRDefault="00296267">
      <w:r>
        <w:t>Suggested initial evaluation criteria:</w:t>
      </w:r>
    </w:p>
    <w:tbl>
      <w:tblPr>
        <w:tblStyle w:val="TableGrid"/>
        <w:tblW w:w="0" w:type="auto"/>
        <w:jc w:val="center"/>
        <w:tblLook w:val="04A0" w:firstRow="1" w:lastRow="0" w:firstColumn="1" w:lastColumn="0" w:noHBand="0" w:noVBand="1"/>
      </w:tblPr>
      <w:tblGrid>
        <w:gridCol w:w="2448"/>
        <w:gridCol w:w="3888"/>
        <w:gridCol w:w="3744"/>
      </w:tblGrid>
      <w:tr w:rsidR="00B57429" w14:paraId="5DCEC581" w14:textId="77777777">
        <w:trPr>
          <w:jc w:val="center"/>
        </w:trPr>
        <w:tc>
          <w:tcPr>
            <w:tcW w:w="2448" w:type="dxa"/>
            <w:shd w:val="clear" w:color="auto" w:fill="D9EAF7"/>
          </w:tcPr>
          <w:p w14:paraId="24B98C39" w14:textId="77777777" w:rsidR="00B57429" w:rsidRDefault="00296267">
            <w:r>
              <w:rPr>
                <w:b/>
              </w:rPr>
              <w:t>Criterion</w:t>
            </w:r>
          </w:p>
        </w:tc>
        <w:tc>
          <w:tcPr>
            <w:tcW w:w="3888" w:type="dxa"/>
            <w:shd w:val="clear" w:color="auto" w:fill="D9EAF7"/>
          </w:tcPr>
          <w:p w14:paraId="7D453C0C" w14:textId="77777777" w:rsidR="00B57429" w:rsidRDefault="00296267">
            <w:r>
              <w:rPr>
                <w:b/>
              </w:rPr>
              <w:t>Preferred Property</w:t>
            </w:r>
          </w:p>
        </w:tc>
        <w:tc>
          <w:tcPr>
            <w:tcW w:w="3744" w:type="dxa"/>
            <w:shd w:val="clear" w:color="auto" w:fill="D9EAF7"/>
          </w:tcPr>
          <w:p w14:paraId="641D944A" w14:textId="77777777" w:rsidR="00B57429" w:rsidRDefault="00296267">
            <w:r>
              <w:rPr>
                <w:b/>
              </w:rPr>
              <w:t>Reason</w:t>
            </w:r>
          </w:p>
        </w:tc>
      </w:tr>
      <w:tr w:rsidR="00B57429" w14:paraId="7928BB63" w14:textId="77777777">
        <w:trPr>
          <w:jc w:val="center"/>
        </w:trPr>
        <w:tc>
          <w:tcPr>
            <w:tcW w:w="2448" w:type="dxa"/>
          </w:tcPr>
          <w:p w14:paraId="607BD1E9" w14:textId="77777777" w:rsidR="00B57429" w:rsidRDefault="00296267">
            <w:r>
              <w:t>Reproducibility</w:t>
            </w:r>
          </w:p>
        </w:tc>
        <w:tc>
          <w:tcPr>
            <w:tcW w:w="3888" w:type="dxa"/>
          </w:tcPr>
          <w:p w14:paraId="0930AEA4" w14:textId="77777777" w:rsidR="00B57429" w:rsidRDefault="00296267">
            <w:r>
              <w:t>Open-source or self-hostable demo path</w:t>
            </w:r>
          </w:p>
        </w:tc>
        <w:tc>
          <w:tcPr>
            <w:tcW w:w="3744" w:type="dxa"/>
          </w:tcPr>
          <w:p w14:paraId="2BA878A2" w14:textId="77777777" w:rsidR="00B57429" w:rsidRDefault="00296267">
            <w:r>
              <w:t>Supports public/portable evidence</w:t>
            </w:r>
          </w:p>
        </w:tc>
      </w:tr>
      <w:tr w:rsidR="00B57429" w14:paraId="3EAD6B44" w14:textId="77777777">
        <w:trPr>
          <w:jc w:val="center"/>
        </w:trPr>
        <w:tc>
          <w:tcPr>
            <w:tcW w:w="2448" w:type="dxa"/>
          </w:tcPr>
          <w:p w14:paraId="2AA9AB52" w14:textId="77777777" w:rsidR="00B57429" w:rsidRDefault="00296267">
            <w:r>
              <w:t>MCP coverage</w:t>
            </w:r>
          </w:p>
        </w:tc>
        <w:tc>
          <w:tcPr>
            <w:tcW w:w="3888" w:type="dxa"/>
          </w:tcPr>
          <w:p w14:paraId="4A1E210F" w14:textId="77777777" w:rsidR="00B57429" w:rsidRDefault="00296267">
            <w:r>
              <w:t>Can mediate MCP tool calls</w:t>
            </w:r>
          </w:p>
        </w:tc>
        <w:tc>
          <w:tcPr>
            <w:tcW w:w="3744" w:type="dxa"/>
          </w:tcPr>
          <w:p w14:paraId="00E7261A" w14:textId="4F0DDC8A" w:rsidR="00B57429" w:rsidRDefault="00296267">
            <w:r>
              <w:t xml:space="preserve">Aligns with the </w:t>
            </w:r>
            <w:r w:rsidR="00951FEE">
              <w:t>Iron-plus</w:t>
            </w:r>
            <w:r>
              <w:t xml:space="preserve"> baseline</w:t>
            </w:r>
          </w:p>
        </w:tc>
      </w:tr>
      <w:tr w:rsidR="00B57429" w14:paraId="6C545E1E" w14:textId="77777777">
        <w:trPr>
          <w:jc w:val="center"/>
        </w:trPr>
        <w:tc>
          <w:tcPr>
            <w:tcW w:w="2448" w:type="dxa"/>
          </w:tcPr>
          <w:p w14:paraId="1DF8F5E9" w14:textId="77777777" w:rsidR="00B57429" w:rsidRDefault="00296267">
            <w:r>
              <w:t>Policy hooks</w:t>
            </w:r>
          </w:p>
        </w:tc>
        <w:tc>
          <w:tcPr>
            <w:tcW w:w="3888" w:type="dxa"/>
          </w:tcPr>
          <w:p w14:paraId="72FEA14A" w14:textId="77777777" w:rsidR="00B57429" w:rsidRDefault="00296267">
            <w:r>
              <w:t>Supports allow/block or policy plugin behavior</w:t>
            </w:r>
          </w:p>
        </w:tc>
        <w:tc>
          <w:tcPr>
            <w:tcW w:w="3744" w:type="dxa"/>
          </w:tcPr>
          <w:p w14:paraId="2D7E962F" w14:textId="77777777" w:rsidR="00B57429" w:rsidRDefault="00296267">
            <w:r>
              <w:t>Demonstrates enforcement substrate mapping</w:t>
            </w:r>
          </w:p>
        </w:tc>
      </w:tr>
      <w:tr w:rsidR="00B57429" w14:paraId="7B9F11D8" w14:textId="77777777">
        <w:trPr>
          <w:jc w:val="center"/>
        </w:trPr>
        <w:tc>
          <w:tcPr>
            <w:tcW w:w="2448" w:type="dxa"/>
          </w:tcPr>
          <w:p w14:paraId="7BAB84F4" w14:textId="77777777" w:rsidR="00B57429" w:rsidRDefault="00296267">
            <w:r>
              <w:t>Auditability</w:t>
            </w:r>
          </w:p>
        </w:tc>
        <w:tc>
          <w:tcPr>
            <w:tcW w:w="3888" w:type="dxa"/>
          </w:tcPr>
          <w:p w14:paraId="7E187FBF" w14:textId="77777777" w:rsidR="00B57429" w:rsidRDefault="00296267">
            <w:r>
              <w:t>Produces logs/events that can be normalized</w:t>
            </w:r>
          </w:p>
        </w:tc>
        <w:tc>
          <w:tcPr>
            <w:tcW w:w="3744" w:type="dxa"/>
          </w:tcPr>
          <w:p w14:paraId="0CE9AD03" w14:textId="77777777" w:rsidR="00B57429" w:rsidRDefault="00296267">
            <w:r>
              <w:t>Allows ProofRail audit mapping</w:t>
            </w:r>
          </w:p>
        </w:tc>
      </w:tr>
      <w:tr w:rsidR="00B57429" w14:paraId="067064E6" w14:textId="77777777">
        <w:trPr>
          <w:jc w:val="center"/>
        </w:trPr>
        <w:tc>
          <w:tcPr>
            <w:tcW w:w="2448" w:type="dxa"/>
          </w:tcPr>
          <w:p w14:paraId="207C8FCB" w14:textId="77777777" w:rsidR="00B57429" w:rsidRDefault="00296267">
            <w:r>
              <w:t>Bypass testability</w:t>
            </w:r>
          </w:p>
        </w:tc>
        <w:tc>
          <w:tcPr>
            <w:tcW w:w="3888" w:type="dxa"/>
          </w:tcPr>
          <w:p w14:paraId="65A53031" w14:textId="77777777" w:rsidR="00B57429" w:rsidRDefault="00296267">
            <w:r>
              <w:t>Supports network isolation or upstream separation</w:t>
            </w:r>
          </w:p>
        </w:tc>
        <w:tc>
          <w:tcPr>
            <w:tcW w:w="3744" w:type="dxa"/>
          </w:tcPr>
          <w:p w14:paraId="0D36B2A7" w14:textId="77777777" w:rsidR="00B57429" w:rsidRDefault="00296267">
            <w:r>
              <w:t>Proves control rather than observation</w:t>
            </w:r>
          </w:p>
        </w:tc>
      </w:tr>
      <w:tr w:rsidR="00B57429" w14:paraId="6BC95D98" w14:textId="77777777">
        <w:trPr>
          <w:jc w:val="center"/>
        </w:trPr>
        <w:tc>
          <w:tcPr>
            <w:tcW w:w="2448" w:type="dxa"/>
          </w:tcPr>
          <w:p w14:paraId="20DB6FD2" w14:textId="77777777" w:rsidR="00B57429" w:rsidRDefault="00296267">
            <w:r>
              <w:t>Low setup friction</w:t>
            </w:r>
          </w:p>
        </w:tc>
        <w:tc>
          <w:tcPr>
            <w:tcW w:w="3888" w:type="dxa"/>
          </w:tcPr>
          <w:p w14:paraId="1D5DA1D5" w14:textId="77777777" w:rsidR="00B57429" w:rsidRDefault="00296267">
            <w:r>
              <w:t>Docker/local install and modest dependencies</w:t>
            </w:r>
          </w:p>
        </w:tc>
        <w:tc>
          <w:tcPr>
            <w:tcW w:w="3744" w:type="dxa"/>
          </w:tcPr>
          <w:p w14:paraId="2C163A5A" w14:textId="77777777" w:rsidR="00B57429" w:rsidRDefault="00296267">
            <w:r>
              <w:t>Keeps the first demo achievable</w:t>
            </w:r>
          </w:p>
        </w:tc>
      </w:tr>
      <w:tr w:rsidR="00B57429" w14:paraId="0EB6F1D3" w14:textId="77777777">
        <w:trPr>
          <w:jc w:val="center"/>
        </w:trPr>
        <w:tc>
          <w:tcPr>
            <w:tcW w:w="2448" w:type="dxa"/>
          </w:tcPr>
          <w:p w14:paraId="27187453" w14:textId="77777777" w:rsidR="00B57429" w:rsidRDefault="00296267">
            <w:r>
              <w:t>Second-substrate portability</w:t>
            </w:r>
          </w:p>
        </w:tc>
        <w:tc>
          <w:tcPr>
            <w:tcW w:w="3888" w:type="dxa"/>
          </w:tcPr>
          <w:p w14:paraId="70336167" w14:textId="77777777" w:rsidR="00B57429" w:rsidRDefault="00296267">
            <w:r>
              <w:t>Can be swapped for Kong/Lasso/ContextForge/agentgateway</w:t>
            </w:r>
          </w:p>
        </w:tc>
        <w:tc>
          <w:tcPr>
            <w:tcW w:w="3744" w:type="dxa"/>
          </w:tcPr>
          <w:p w14:paraId="7E2C90AB" w14:textId="77777777" w:rsidR="00B57429" w:rsidRDefault="00296267">
            <w:r>
              <w:t>Proves vendor-neutrality</w:t>
            </w:r>
          </w:p>
        </w:tc>
      </w:tr>
    </w:tbl>
    <w:p w14:paraId="1B67EF51" w14:textId="77777777" w:rsidR="00B57429" w:rsidRDefault="00B57429"/>
    <w:p w14:paraId="7D54AAB9" w14:textId="24D1A539" w:rsidR="00B57429" w:rsidRDefault="00296267">
      <w:r>
        <w:t>For the first pass, the preferred sequence is: 1) open-source substrate for reproducibility, 2) enterprise gateway profile for market realism, and 3) optional second</w:t>
      </w:r>
      <w:r w:rsidR="009E4599">
        <w:t xml:space="preserve"> substrate of an</w:t>
      </w:r>
      <w:r>
        <w:t xml:space="preserve"> open-sourc</w:t>
      </w:r>
      <w:r w:rsidR="00D3216A">
        <w:t xml:space="preserve">e </w:t>
      </w:r>
      <w:r w:rsidR="009E4599">
        <w:t xml:space="preserve">tool </w:t>
      </w:r>
      <w:r w:rsidR="00D3216A">
        <w:t xml:space="preserve">or </w:t>
      </w:r>
      <w:r w:rsidR="009E4599">
        <w:t>trial version of an enterprise tool</w:t>
      </w:r>
      <w:r>
        <w:t xml:space="preserve"> to test portability.</w:t>
      </w:r>
    </w:p>
    <w:p w14:paraId="3426732B" w14:textId="77777777" w:rsidR="00B57429" w:rsidRDefault="00296267">
      <w:pPr>
        <w:pStyle w:val="Heading1"/>
      </w:pPr>
      <w:r>
        <w:rPr>
          <w:b w:val="0"/>
        </w:rPr>
        <w:t>12. Recommended Delivery Plan</w:t>
      </w:r>
    </w:p>
    <w:p w14:paraId="421D0B1E" w14:textId="77777777" w:rsidR="00B57429" w:rsidRDefault="00296267">
      <w:pPr>
        <w:pStyle w:val="Heading2"/>
      </w:pPr>
      <w:r>
        <w:rPr>
          <w:b w:val="0"/>
        </w:rPr>
        <w:t>Phase 1: Bronze Strategy and Spec Draft</w:t>
      </w:r>
    </w:p>
    <w:p w14:paraId="6F405736" w14:textId="77777777" w:rsidR="00B57429" w:rsidRDefault="00296267">
      <w:r>
        <w:t>Deliverables:</w:t>
      </w:r>
    </w:p>
    <w:p w14:paraId="125EA03E" w14:textId="77777777" w:rsidR="00B57429" w:rsidRDefault="00296267">
      <w:pPr>
        <w:pStyle w:val="ListBullet"/>
      </w:pPr>
      <w:r>
        <w:t>docs/bronze/BRONZE_STRATEGY_NOTE.md</w:t>
      </w:r>
    </w:p>
    <w:p w14:paraId="5336141C" w14:textId="77777777" w:rsidR="00B57429" w:rsidRDefault="00296267">
      <w:pPr>
        <w:pStyle w:val="ListBullet"/>
      </w:pPr>
      <w:r>
        <w:lastRenderedPageBreak/>
        <w:t>docs/bronze/BRONZE_PROFILE_DRAFT.md</w:t>
      </w:r>
    </w:p>
    <w:p w14:paraId="5CAE48BE" w14:textId="77777777" w:rsidR="00B57429" w:rsidRDefault="00296267">
      <w:pPr>
        <w:pStyle w:val="ListBullet"/>
      </w:pPr>
      <w:r>
        <w:t>docs/bronze/BRONZE_CLAIM_SCHEMA_DRAFT.yaml</w:t>
      </w:r>
    </w:p>
    <w:p w14:paraId="2529814F" w14:textId="77777777" w:rsidR="00B57429" w:rsidRDefault="00296267">
      <w:r>
        <w:t>Goal:</w:t>
      </w:r>
    </w:p>
    <w:p w14:paraId="445276D6" w14:textId="77777777" w:rsidR="00B57429" w:rsidRDefault="00296267">
      <w:pPr>
        <w:spacing w:before="80" w:after="80"/>
        <w:ind w:left="360" w:right="360"/>
      </w:pPr>
      <w:r>
        <w:rPr>
          <w:i/>
        </w:rPr>
        <w:t>Define Bronze as a stack-level conformance claim rather than a single product implementation.</w:t>
      </w:r>
    </w:p>
    <w:p w14:paraId="2AA5BFFE" w14:textId="77777777" w:rsidR="00B57429" w:rsidRDefault="00296267">
      <w:pPr>
        <w:pStyle w:val="Heading2"/>
      </w:pPr>
      <w:r>
        <w:rPr>
          <w:b w:val="0"/>
        </w:rPr>
        <w:t>Phase 2: Composed Bronze Minimal Demo</w:t>
      </w:r>
    </w:p>
    <w:p w14:paraId="33C33B5B" w14:textId="77777777" w:rsidR="00B57429" w:rsidRDefault="00296267">
      <w:r>
        <w:t>Deliverables:</w:t>
      </w:r>
    </w:p>
    <w:p w14:paraId="63C8E1DB" w14:textId="77777777" w:rsidR="00B57429" w:rsidRDefault="00296267">
      <w:pPr>
        <w:pStyle w:val="ListBullet"/>
      </w:pPr>
      <w:r>
        <w:t>one open-source gateway profile;</w:t>
      </w:r>
    </w:p>
    <w:p w14:paraId="2C8D798F" w14:textId="77777777" w:rsidR="00B57429" w:rsidRDefault="00296267">
      <w:pPr>
        <w:pStyle w:val="ListBullet"/>
      </w:pPr>
      <w:r>
        <w:t>mock protected actuator set;</w:t>
      </w:r>
    </w:p>
    <w:p w14:paraId="4A7D251C" w14:textId="77777777" w:rsidR="00B57429" w:rsidRDefault="00296267">
      <w:pPr>
        <w:pStyle w:val="ListBullet"/>
      </w:pPr>
      <w:r>
        <w:t>identity simulation or Keycloak profile;</w:t>
      </w:r>
    </w:p>
    <w:p w14:paraId="3E058BEC" w14:textId="77777777" w:rsidR="00B57429" w:rsidRDefault="00296267">
      <w:pPr>
        <w:pStyle w:val="ListBullet"/>
      </w:pPr>
      <w:r>
        <w:t>audit/log sink;</w:t>
      </w:r>
    </w:p>
    <w:p w14:paraId="75D5B406" w14:textId="77777777" w:rsidR="00B57429" w:rsidRDefault="00296267">
      <w:pPr>
        <w:pStyle w:val="ListBullet"/>
      </w:pPr>
      <w:r>
        <w:t>ProofRail evidence harness;</w:t>
      </w:r>
    </w:p>
    <w:p w14:paraId="22683B79" w14:textId="77777777" w:rsidR="00B57429" w:rsidRDefault="00296267">
      <w:pPr>
        <w:pStyle w:val="ListBullet"/>
      </w:pPr>
      <w:r>
        <w:t>conformance bundle.</w:t>
      </w:r>
    </w:p>
    <w:p w14:paraId="13BE5D03" w14:textId="77777777" w:rsidR="00B57429" w:rsidRDefault="00296267">
      <w:r>
        <w:t>Goal:</w:t>
      </w:r>
    </w:p>
    <w:p w14:paraId="0902FD95" w14:textId="61C6487B" w:rsidR="00B57429" w:rsidRDefault="00296267">
      <w:pPr>
        <w:spacing w:before="80" w:after="80"/>
        <w:ind w:left="360" w:right="360"/>
      </w:pPr>
      <w:r>
        <w:rPr>
          <w:i/>
        </w:rPr>
        <w:t xml:space="preserve">Show that ProofRail conformance can be applied outside the native </w:t>
      </w:r>
      <w:r w:rsidR="00951FEE">
        <w:rPr>
          <w:i/>
        </w:rPr>
        <w:t>Iron-plus</w:t>
      </w:r>
      <w:r>
        <w:rPr>
          <w:i/>
        </w:rPr>
        <w:t xml:space="preserve"> runtime.</w:t>
      </w:r>
    </w:p>
    <w:p w14:paraId="52C6E72A" w14:textId="77777777" w:rsidR="00B57429" w:rsidRDefault="00296267">
      <w:pPr>
        <w:pStyle w:val="Heading2"/>
      </w:pPr>
      <w:r>
        <w:rPr>
          <w:b w:val="0"/>
        </w:rPr>
        <w:t>Phase 3: Integrate Enterprise Gateway Profile</w:t>
      </w:r>
    </w:p>
    <w:p w14:paraId="339F0C47" w14:textId="77777777" w:rsidR="00B57429" w:rsidRDefault="00296267">
      <w:r>
        <w:t>Deliverables:</w:t>
      </w:r>
    </w:p>
    <w:p w14:paraId="77A6C759" w14:textId="77777777" w:rsidR="00B57429" w:rsidRDefault="00296267">
      <w:pPr>
        <w:pStyle w:val="ListBullet"/>
      </w:pPr>
      <w:r>
        <w:t>Kong profile or equivalent;</w:t>
      </w:r>
    </w:p>
    <w:p w14:paraId="543A8D14" w14:textId="77777777" w:rsidR="00B57429" w:rsidRDefault="00296267">
      <w:pPr>
        <w:pStyle w:val="ListBullet"/>
      </w:pPr>
      <w:r>
        <w:t>mapping from gateway logs/config to ProofRail audit schema;</w:t>
      </w:r>
    </w:p>
    <w:p w14:paraId="654319E5" w14:textId="77777777" w:rsidR="00B57429" w:rsidRDefault="00296267">
      <w:pPr>
        <w:pStyle w:val="ListBullet"/>
      </w:pPr>
      <w:r>
        <w:t>bypass-prevention notes;</w:t>
      </w:r>
    </w:p>
    <w:p w14:paraId="5A455A07" w14:textId="77777777" w:rsidR="00B57429" w:rsidRDefault="00296267">
      <w:pPr>
        <w:pStyle w:val="ListBullet"/>
      </w:pPr>
      <w:r>
        <w:t>Bronze claim generated from vendor substrate.</w:t>
      </w:r>
    </w:p>
    <w:p w14:paraId="319BB7B4" w14:textId="77777777" w:rsidR="00B57429" w:rsidRDefault="00296267">
      <w:r>
        <w:t>Goal:</w:t>
      </w:r>
    </w:p>
    <w:p w14:paraId="3DE34337" w14:textId="77777777" w:rsidR="00B57429" w:rsidRDefault="00296267">
      <w:pPr>
        <w:spacing w:before="80" w:after="80"/>
        <w:ind w:left="360" w:right="360"/>
      </w:pPr>
      <w:r>
        <w:rPr>
          <w:i/>
        </w:rPr>
        <w:t>Show that ProofRail can complement rather than compete with enterprise gateway products.</w:t>
      </w:r>
    </w:p>
    <w:p w14:paraId="5296721E" w14:textId="77777777" w:rsidR="00B57429" w:rsidRDefault="00296267">
      <w:pPr>
        <w:pStyle w:val="Heading2"/>
      </w:pPr>
      <w:r>
        <w:rPr>
          <w:b w:val="0"/>
        </w:rPr>
        <w:t>Phase 4: Native Bronze Preview Implementation</w:t>
      </w:r>
    </w:p>
    <w:p w14:paraId="70A4BA45" w14:textId="77777777" w:rsidR="00B57429" w:rsidRDefault="00296267">
      <w:r>
        <w:t>Deliverables:</w:t>
      </w:r>
    </w:p>
    <w:p w14:paraId="7A8ACCF1" w14:textId="77777777" w:rsidR="00B57429" w:rsidRDefault="00296267">
      <w:pPr>
        <w:pStyle w:val="ListBullet"/>
      </w:pPr>
      <w:r>
        <w:t>multi-upstream route map;</w:t>
      </w:r>
    </w:p>
    <w:p w14:paraId="39E53EB3" w14:textId="77777777" w:rsidR="00B57429" w:rsidRDefault="00296267">
      <w:pPr>
        <w:pStyle w:val="ListBullet"/>
      </w:pPr>
      <w:r>
        <w:t>policy version/hash history;</w:t>
      </w:r>
    </w:p>
    <w:p w14:paraId="2AA32A53" w14:textId="77777777" w:rsidR="00B57429" w:rsidRDefault="00296267">
      <w:pPr>
        <w:pStyle w:val="ListBullet"/>
      </w:pPr>
      <w:r>
        <w:t>durable audit queue;</w:t>
      </w:r>
    </w:p>
    <w:p w14:paraId="509B8F10" w14:textId="77777777" w:rsidR="00B57429" w:rsidRDefault="00296267">
      <w:pPr>
        <w:pStyle w:val="ListBullet"/>
      </w:pPr>
      <w:r>
        <w:t>OIDC demo profile;</w:t>
      </w:r>
    </w:p>
    <w:p w14:paraId="7ACC3BA4" w14:textId="77777777" w:rsidR="00B57429" w:rsidRDefault="00296267">
      <w:pPr>
        <w:pStyle w:val="ListBullet"/>
      </w:pPr>
      <w:r>
        <w:t>OTLP export;</w:t>
      </w:r>
    </w:p>
    <w:p w14:paraId="0818F2D3" w14:textId="77777777" w:rsidR="00B57429" w:rsidRDefault="00296267">
      <w:pPr>
        <w:pStyle w:val="ListBullet"/>
      </w:pPr>
      <w:r>
        <w:t>Bronze Preview conformance matrix.</w:t>
      </w:r>
    </w:p>
    <w:p w14:paraId="40284006" w14:textId="77777777" w:rsidR="00B57429" w:rsidRDefault="00296267">
      <w:r>
        <w:t>Goal:</w:t>
      </w:r>
    </w:p>
    <w:p w14:paraId="632D08EF" w14:textId="7C9C9879" w:rsidR="00B57429" w:rsidRDefault="00296267">
      <w:pPr>
        <w:spacing w:before="80" w:after="80"/>
        <w:ind w:left="360" w:right="360"/>
      </w:pPr>
      <w:r>
        <w:rPr>
          <w:i/>
        </w:rPr>
        <w:t xml:space="preserve">Show that the ProofRail-native line can grow beyond </w:t>
      </w:r>
      <w:r w:rsidR="00951FEE">
        <w:rPr>
          <w:i/>
        </w:rPr>
        <w:t>Iron-plus</w:t>
      </w:r>
      <w:r>
        <w:rPr>
          <w:i/>
        </w:rPr>
        <w:t xml:space="preserve"> while remaining disciplined.</w:t>
      </w:r>
    </w:p>
    <w:p w14:paraId="51BCA219" w14:textId="77777777" w:rsidR="00B57429" w:rsidRDefault="00296267">
      <w:pPr>
        <w:pStyle w:val="Heading2"/>
      </w:pPr>
      <w:r>
        <w:rPr>
          <w:b w:val="0"/>
        </w:rPr>
        <w:t>Phase 5: Silver Gap Paper</w:t>
      </w:r>
    </w:p>
    <w:p w14:paraId="4CA37ACA" w14:textId="77777777" w:rsidR="00B57429" w:rsidRDefault="00296267">
      <w:r>
        <w:t>Deliverables:</w:t>
      </w:r>
    </w:p>
    <w:p w14:paraId="36AA6BD4" w14:textId="77777777" w:rsidR="00B57429" w:rsidRDefault="00296267">
      <w:pPr>
        <w:pStyle w:val="ListBullet"/>
      </w:pPr>
      <w:r>
        <w:t>docs/silver/SILVER_GAP_PAPER.md</w:t>
      </w:r>
    </w:p>
    <w:p w14:paraId="42F772B1" w14:textId="77777777" w:rsidR="00B57429" w:rsidRDefault="00296267">
      <w:r>
        <w:lastRenderedPageBreak/>
        <w:t>Goal:</w:t>
      </w:r>
    </w:p>
    <w:p w14:paraId="29F7BF80" w14:textId="77777777" w:rsidR="00B57429" w:rsidRDefault="00296267">
      <w:pPr>
        <w:spacing w:before="80" w:after="80"/>
        <w:ind w:left="360" w:right="360"/>
      </w:pPr>
      <w:r>
        <w:rPr>
          <w:i/>
        </w:rPr>
        <w:t>Define what remains unsolved after Bronze: cross-vendor, cross-organization delegation, revocation, evidence bundles, and trust propagation.</w:t>
      </w:r>
    </w:p>
    <w:p w14:paraId="207A6B1E" w14:textId="77777777" w:rsidR="00B57429" w:rsidRDefault="00296267">
      <w:pPr>
        <w:pStyle w:val="Heading1"/>
      </w:pPr>
      <w:r>
        <w:rPr>
          <w:b w:val="0"/>
        </w:rPr>
        <w:t>13. Near-Term Recommendation</w:t>
      </w:r>
    </w:p>
    <w:p w14:paraId="136C1AAB" w14:textId="77777777" w:rsidR="00B57429" w:rsidRDefault="00296267">
      <w:r>
        <w:t>The immediate next step should be the Composed Bronze minimal demo instead of additional engineering on the native runtime stack.</w:t>
      </w:r>
    </w:p>
    <w:p w14:paraId="3547D183" w14:textId="78BF0F19" w:rsidR="00B57429" w:rsidRDefault="00296267">
      <w:r>
        <w:t>Reason</w:t>
      </w:r>
      <w:r w:rsidR="008129F9">
        <w:t>s</w:t>
      </w:r>
      <w:r>
        <w:t>:</w:t>
      </w:r>
    </w:p>
    <w:p w14:paraId="1F3D5BB2" w14:textId="70997D0E" w:rsidR="00B57429" w:rsidRDefault="00951FEE">
      <w:pPr>
        <w:pStyle w:val="ListBullet"/>
      </w:pPr>
      <w:r>
        <w:t>Iron-plus</w:t>
      </w:r>
      <w:r w:rsidR="00296267">
        <w:t xml:space="preserve"> already proves the native control primitive.</w:t>
      </w:r>
    </w:p>
    <w:p w14:paraId="0FF36B9F" w14:textId="77777777" w:rsidR="00B57429" w:rsidRDefault="00296267">
      <w:pPr>
        <w:pStyle w:val="ListBullet"/>
      </w:pPr>
      <w:r>
        <w:t>Many strong competitors exist at the gateway layer and they are moving quickly.</w:t>
      </w:r>
    </w:p>
    <w:p w14:paraId="08746FD5" w14:textId="77777777" w:rsidR="00B57429" w:rsidRDefault="00296267">
      <w:pPr>
        <w:pStyle w:val="ListBullet"/>
      </w:pPr>
      <w:r>
        <w:t>ProofRail’s stronger strategic position is vendor-neutral conformance.</w:t>
      </w:r>
    </w:p>
    <w:p w14:paraId="75F2F346" w14:textId="77777777" w:rsidR="00B57429" w:rsidRDefault="00296267">
      <w:pPr>
        <w:pStyle w:val="ListBullet"/>
      </w:pPr>
      <w:r>
        <w:t>Composed Bronze sets up the argument for Silver more directly.</w:t>
      </w:r>
    </w:p>
    <w:p w14:paraId="046BCDC7" w14:textId="77777777" w:rsidR="00B57429" w:rsidRDefault="00296267">
      <w:r>
        <w:t>Native Bronze Preview remains important, but it should not distract from the more strategic positioning of Composed Bronze.</w:t>
      </w:r>
    </w:p>
    <w:p w14:paraId="36C1FCD2" w14:textId="77777777" w:rsidR="00B57429" w:rsidRDefault="00296267">
      <w:r>
        <w:t>The recommended near-term sequence is:</w:t>
      </w:r>
    </w:p>
    <w:p w14:paraId="4B0CE09A" w14:textId="77777777" w:rsidR="00B57429" w:rsidRDefault="00296267">
      <w:pPr>
        <w:ind w:left="360" w:hanging="360"/>
      </w:pPr>
      <w:r>
        <w:t>1. finalize this Bronze Strategy Note;</w:t>
      </w:r>
    </w:p>
    <w:p w14:paraId="48114564" w14:textId="77777777" w:rsidR="00B57429" w:rsidRDefault="00296267">
      <w:pPr>
        <w:ind w:left="360" w:hanging="360"/>
      </w:pPr>
      <w:r>
        <w:t>2. draft the Bronze minimum claim schema;</w:t>
      </w:r>
    </w:p>
    <w:p w14:paraId="599FF82D" w14:textId="11FEDBED" w:rsidR="00B57429" w:rsidRDefault="00296267">
      <w:pPr>
        <w:ind w:left="360" w:hanging="360"/>
      </w:pPr>
      <w:r>
        <w:t>3. select the first open-source composed substrate</w:t>
      </w:r>
      <w:r w:rsidR="000C0B23">
        <w:t>, based on a focused, brief evaluation of candidate substrates;</w:t>
      </w:r>
    </w:p>
    <w:p w14:paraId="6900B0EF" w14:textId="77777777" w:rsidR="00B57429" w:rsidRDefault="00296267">
      <w:pPr>
        <w:ind w:left="360" w:hanging="360"/>
      </w:pPr>
      <w:r>
        <w:t>4. implement a minimal composed Bronze evidence harness;</w:t>
      </w:r>
    </w:p>
    <w:p w14:paraId="5A90B1D1" w14:textId="77777777" w:rsidR="00B57429" w:rsidRDefault="00296267">
      <w:pPr>
        <w:ind w:left="360" w:hanging="360"/>
      </w:pPr>
      <w:r>
        <w:t>5. generate a Bronze evidence bundle;</w:t>
      </w:r>
    </w:p>
    <w:p w14:paraId="7C027577" w14:textId="77777777" w:rsidR="00B57429" w:rsidRDefault="00296267">
      <w:pPr>
        <w:ind w:left="360" w:hanging="360"/>
      </w:pPr>
      <w:r>
        <w:t>6. add a second substrate to prove portability;</w:t>
      </w:r>
    </w:p>
    <w:p w14:paraId="05614E92" w14:textId="77777777" w:rsidR="00B57429" w:rsidRDefault="00296267">
      <w:pPr>
        <w:ind w:left="360" w:hanging="360"/>
      </w:pPr>
      <w:r>
        <w:t>7. only then extend the native runtime toward Bronze Preview.</w:t>
      </w:r>
    </w:p>
    <w:p w14:paraId="010FDFBB" w14:textId="77777777" w:rsidR="00B57429" w:rsidRDefault="00296267">
      <w:pPr>
        <w:pStyle w:val="Heading1"/>
      </w:pPr>
      <w:r>
        <w:rPr>
          <w:b w:val="0"/>
        </w:rPr>
        <w:t>14. Strategic Positioning</w:t>
      </w:r>
    </w:p>
    <w:p w14:paraId="5906AE3F" w14:textId="77777777" w:rsidR="00B57429" w:rsidRDefault="00296267">
      <w:r>
        <w:t>ProofRail should be described as:</w:t>
      </w:r>
    </w:p>
    <w:p w14:paraId="70579242" w14:textId="26CBE899" w:rsidR="00B57429" w:rsidRDefault="00296267">
      <w:pPr>
        <w:spacing w:before="80" w:after="80"/>
        <w:ind w:left="360" w:right="360"/>
      </w:pPr>
      <w:r>
        <w:rPr>
          <w:i/>
        </w:rPr>
        <w:t xml:space="preserve">A vendor-neutral conformance and governance framework for agentic AI control. </w:t>
      </w:r>
      <w:r w:rsidR="00951FEE">
        <w:rPr>
          <w:i/>
        </w:rPr>
        <w:t>Iron-plus</w:t>
      </w:r>
      <w:r>
        <w:rPr>
          <w:i/>
        </w:rPr>
        <w:t xml:space="preserve"> provides a live reference implementation. Bronze shows that enterprises can compose controls from existing infrastructure without vendor lock-in. Silver and above address the cross-vendor, cross-organization, and societal governance layers that individual products may not be able to solve.</w:t>
      </w:r>
    </w:p>
    <w:p w14:paraId="6A92DE71" w14:textId="77777777" w:rsidR="00B57429" w:rsidRDefault="00296267">
      <w:r>
        <w:t>Bronze should avoid the claim:</w:t>
      </w:r>
    </w:p>
    <w:p w14:paraId="1F6C879E" w14:textId="77777777" w:rsidR="00B57429" w:rsidRDefault="00296267">
      <w:pPr>
        <w:spacing w:before="80" w:after="80"/>
        <w:ind w:left="360" w:right="360"/>
      </w:pPr>
      <w:r>
        <w:rPr>
          <w:i/>
        </w:rPr>
        <w:t>ProofRail is an AI gateway.</w:t>
      </w:r>
    </w:p>
    <w:p w14:paraId="219B87D3" w14:textId="77777777" w:rsidR="00B57429" w:rsidRDefault="00296267">
      <w:r>
        <w:t>Bronze should assert:</w:t>
      </w:r>
    </w:p>
    <w:p w14:paraId="66B671CE" w14:textId="77777777" w:rsidR="00B57429" w:rsidRDefault="00296267">
      <w:pPr>
        <w:spacing w:before="80" w:after="80"/>
        <w:ind w:left="360" w:right="360"/>
      </w:pPr>
      <w:r>
        <w:rPr>
          <w:i/>
        </w:rPr>
        <w:t>ProofRail defines and structures the evidence required to trust a deployment of agentic AI controls.</w:t>
      </w:r>
    </w:p>
    <w:p w14:paraId="0038E8F8" w14:textId="6C9CD6B8" w:rsidR="00B57429" w:rsidRDefault="00296267">
      <w:r>
        <w:lastRenderedPageBreak/>
        <w:t xml:space="preserve">This makes Kong, Lasso, ContextForge, </w:t>
      </w:r>
      <w:r w:rsidR="000C0B23">
        <w:t xml:space="preserve">Linux Foundation </w:t>
      </w:r>
      <w:r>
        <w:t>agentgateway, SIEMs, IdPs, and service meshes potential ProofRail substrates rather than ProofRail competitors.</w:t>
      </w:r>
    </w:p>
    <w:p w14:paraId="224E329C" w14:textId="77777777" w:rsidR="00B57429" w:rsidRDefault="00296267">
      <w:pPr>
        <w:pStyle w:val="Heading1"/>
      </w:pPr>
      <w:r>
        <w:rPr>
          <w:b w:val="0"/>
        </w:rPr>
        <w:t>15. Working Definition of Bronze</w:t>
      </w:r>
    </w:p>
    <w:p w14:paraId="2CF84D36" w14:textId="77777777" w:rsidR="00B57429" w:rsidRDefault="00296267">
      <w:r>
        <w:t>ProofRail Bronze is a local-enterprise conformance profile for agent actuation control.</w:t>
      </w:r>
    </w:p>
    <w:p w14:paraId="4CB6DDDE" w14:textId="77777777" w:rsidR="00B57429" w:rsidRDefault="00296267">
      <w:r>
        <w:t>A Bronze claim states that, within a declared enterprise deployment:</w:t>
      </w:r>
    </w:p>
    <w:p w14:paraId="1E6A71E8" w14:textId="77777777" w:rsidR="00B57429" w:rsidRDefault="00296267">
      <w:pPr>
        <w:pStyle w:val="ListBullet"/>
      </w:pPr>
      <w:r>
        <w:t>protected actuators are declared and versioned;</w:t>
      </w:r>
    </w:p>
    <w:p w14:paraId="74A0861A" w14:textId="77777777" w:rsidR="00B57429" w:rsidRDefault="00296267">
      <w:pPr>
        <w:pStyle w:val="ListBullet"/>
      </w:pPr>
      <w:r>
        <w:t>agent access to those actuators is mediated through declared control surfaces;</w:t>
      </w:r>
    </w:p>
    <w:p w14:paraId="4D4595D2" w14:textId="77777777" w:rsidR="00B57429" w:rsidRDefault="00296267">
      <w:pPr>
        <w:pStyle w:val="ListBullet"/>
      </w:pPr>
      <w:r>
        <w:t>bypass paths are tested and blocked;</w:t>
      </w:r>
    </w:p>
    <w:p w14:paraId="0191753B" w14:textId="77777777" w:rsidR="00B57429" w:rsidRDefault="00296267">
      <w:pPr>
        <w:pStyle w:val="ListBullet"/>
      </w:pPr>
      <w:r>
        <w:t>agent identity and delegated authority are captured at sufficient confidence;</w:t>
      </w:r>
    </w:p>
    <w:p w14:paraId="444B070A" w14:textId="77777777" w:rsidR="00B57429" w:rsidRDefault="00296267">
      <w:pPr>
        <w:pStyle w:val="ListBullet"/>
      </w:pPr>
      <w:r>
        <w:t>policy decisions are enforced and audited;</w:t>
      </w:r>
    </w:p>
    <w:p w14:paraId="0D59E3BA" w14:textId="77777777" w:rsidR="00B57429" w:rsidRDefault="00296267">
      <w:pPr>
        <w:pStyle w:val="ListBullet"/>
      </w:pPr>
      <w:r>
        <w:t>rate limits and safe-degradation behavior exist;</w:t>
      </w:r>
    </w:p>
    <w:p w14:paraId="4C821463" w14:textId="77777777" w:rsidR="00B57429" w:rsidRDefault="00296267">
      <w:pPr>
        <w:pStyle w:val="ListBullet"/>
      </w:pPr>
      <w:r>
        <w:t>emergency stop is operational and tested;</w:t>
      </w:r>
    </w:p>
    <w:p w14:paraId="3554EE2F" w14:textId="77777777" w:rsidR="00B57429" w:rsidRDefault="00296267">
      <w:pPr>
        <w:pStyle w:val="ListBullet"/>
      </w:pPr>
      <w:r>
        <w:t>audit evidence is normalized and retained;</w:t>
      </w:r>
    </w:p>
    <w:p w14:paraId="16426136" w14:textId="77777777" w:rsidR="00B57429" w:rsidRDefault="00296267">
      <w:pPr>
        <w:pStyle w:val="ListBullet"/>
      </w:pPr>
      <w:r>
        <w:t>performance is measured;</w:t>
      </w:r>
    </w:p>
    <w:p w14:paraId="0B9809D2" w14:textId="77777777" w:rsidR="00B57429" w:rsidRDefault="00296267">
      <w:pPr>
        <w:pStyle w:val="ListBullet"/>
      </w:pPr>
      <w:r>
        <w:t>ownership and runbooks are defined.</w:t>
      </w:r>
    </w:p>
    <w:p w14:paraId="62BD6F6A" w14:textId="4DCB23C9" w:rsidR="00B57429" w:rsidRDefault="00296267">
      <w:r>
        <w:t xml:space="preserve">Composed Bronze does not require any enforcement components to be supplied by ProofRail. It does require that the composed stack </w:t>
      </w:r>
      <w:r w:rsidR="00FD7AC3">
        <w:t>be able to</w:t>
      </w:r>
      <w:r>
        <w:t xml:space="preserve"> support the Bronze claim. Native Bronze Preview remains the ProofRail-supplied reference implementation path.</w:t>
      </w:r>
    </w:p>
    <w:p w14:paraId="18682335" w14:textId="3825BDC2" w:rsidR="00B57429" w:rsidRDefault="00296267">
      <w:pPr>
        <w:pStyle w:val="Heading1"/>
      </w:pPr>
      <w:r>
        <w:rPr>
          <w:b w:val="0"/>
        </w:rPr>
        <w:t>16. Bronze Thesis</w:t>
      </w:r>
    </w:p>
    <w:p w14:paraId="6E1B58BB" w14:textId="5E079F6A" w:rsidR="00B57429" w:rsidRDefault="00951FEE">
      <w:pPr>
        <w:spacing w:before="80" w:after="80"/>
        <w:ind w:left="360" w:right="360"/>
      </w:pPr>
      <w:r>
        <w:rPr>
          <w:i/>
        </w:rPr>
        <w:t>Iron-plus</w:t>
      </w:r>
      <w:r w:rsidR="00296267">
        <w:rPr>
          <w:i/>
        </w:rPr>
        <w:t xml:space="preserve"> proves that a rail can exist. Bronze proves that the rail can be assembled from proven components across a real enterprise stack.</w:t>
      </w:r>
    </w:p>
    <w:p w14:paraId="2A27EBC8" w14:textId="77777777" w:rsidR="00B57429" w:rsidRDefault="00296267">
      <w:r>
        <w:t>The Bronze opportunity is to define the conformance layer above gateway vendors, not to attempt to outbuild them:</w:t>
      </w:r>
    </w:p>
    <w:p w14:paraId="588D1638" w14:textId="77777777" w:rsidR="00B57429" w:rsidRDefault="00296267">
      <w:pPr>
        <w:spacing w:before="80" w:after="80"/>
        <w:ind w:left="360" w:right="360"/>
      </w:pPr>
      <w:r>
        <w:rPr>
          <w:i/>
        </w:rPr>
        <w:t>Show me which actuators are protected. Show me that agents cannot bypass the control path. Show me the identity chain. Show me the policy decision. Show me the audit record. Show me the emergency stop. Show me the latency. Show me the evidence bundle.</w:t>
      </w:r>
    </w:p>
    <w:p w14:paraId="379A55E2" w14:textId="0E8C5E74" w:rsidR="00B57429" w:rsidRDefault="00296267">
      <w:r>
        <w:t>This is ProofRail</w:t>
      </w:r>
      <w:r w:rsidR="001F794B">
        <w:t>™</w:t>
      </w:r>
      <w:r>
        <w:t xml:space="preserve"> Bronze.</w:t>
      </w:r>
    </w:p>
    <w:sectPr w:rsidR="00B57429" w:rsidSect="00BD4AA4">
      <w:headerReference w:type="default" r:id="rId8"/>
      <w:footerReference w:type="default" r:id="rId9"/>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6BE2" w14:textId="77777777" w:rsidR="00CB1E10" w:rsidRDefault="00CB1E10">
      <w:pPr>
        <w:spacing w:after="0" w:line="240" w:lineRule="auto"/>
      </w:pPr>
      <w:r>
        <w:separator/>
      </w:r>
    </w:p>
  </w:endnote>
  <w:endnote w:type="continuationSeparator" w:id="0">
    <w:p w14:paraId="71F8E670" w14:textId="77777777" w:rsidR="00CB1E10" w:rsidRDefault="00CB1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D161D" w14:textId="3F1C73C8" w:rsidR="00B57429" w:rsidRPr="00AF10D6" w:rsidRDefault="00BD4AA4" w:rsidP="00AF10D6">
    <w:pPr>
      <w:pStyle w:val="Footer"/>
    </w:pPr>
    <w:r>
      <w:tab/>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6468" w14:textId="77777777" w:rsidR="00CB1E10" w:rsidRDefault="00CB1E10">
      <w:pPr>
        <w:spacing w:after="0" w:line="240" w:lineRule="auto"/>
      </w:pPr>
      <w:r>
        <w:separator/>
      </w:r>
    </w:p>
  </w:footnote>
  <w:footnote w:type="continuationSeparator" w:id="0">
    <w:p w14:paraId="260B2579" w14:textId="77777777" w:rsidR="00CB1E10" w:rsidRDefault="00CB1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95949" w14:textId="47563931" w:rsidR="00AF10D6" w:rsidRDefault="00AF10D6" w:rsidP="00AF10D6">
    <w:pPr>
      <w:pStyle w:val="Footer"/>
      <w:jc w:val="center"/>
    </w:pPr>
    <w:r>
      <w:rPr>
        <w:sz w:val="16"/>
      </w:rPr>
      <w:t>ProofRail</w:t>
    </w:r>
    <w:r w:rsidR="00620273">
      <w:t xml:space="preserve">™ </w:t>
    </w:r>
    <w:r>
      <w:rPr>
        <w:sz w:val="16"/>
      </w:rPr>
      <w:t>Bronze Strategy Note v0.</w:t>
    </w:r>
    <w:r w:rsidR="00BD4AA4">
      <w:rPr>
        <w:sz w:val="16"/>
      </w:rPr>
      <w:t>4</w:t>
    </w:r>
  </w:p>
  <w:p w14:paraId="4B192886" w14:textId="72933B9B" w:rsidR="00AF10D6" w:rsidRDefault="00AF10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96448">
    <w:abstractNumId w:val="8"/>
  </w:num>
  <w:num w:numId="2" w16cid:durableId="1237209170">
    <w:abstractNumId w:val="6"/>
  </w:num>
  <w:num w:numId="3" w16cid:durableId="2119635417">
    <w:abstractNumId w:val="5"/>
  </w:num>
  <w:num w:numId="4" w16cid:durableId="765422774">
    <w:abstractNumId w:val="4"/>
  </w:num>
  <w:num w:numId="5" w16cid:durableId="240990734">
    <w:abstractNumId w:val="7"/>
  </w:num>
  <w:num w:numId="6" w16cid:durableId="777876345">
    <w:abstractNumId w:val="3"/>
  </w:num>
  <w:num w:numId="7" w16cid:durableId="228851858">
    <w:abstractNumId w:val="2"/>
  </w:num>
  <w:num w:numId="8" w16cid:durableId="75056583">
    <w:abstractNumId w:val="1"/>
  </w:num>
  <w:num w:numId="9" w16cid:durableId="53511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A4"/>
    <w:rsid w:val="00034616"/>
    <w:rsid w:val="0006063C"/>
    <w:rsid w:val="000B7D3B"/>
    <w:rsid w:val="000C0B23"/>
    <w:rsid w:val="00144664"/>
    <w:rsid w:val="0015074B"/>
    <w:rsid w:val="001F794B"/>
    <w:rsid w:val="00296267"/>
    <w:rsid w:val="0029639D"/>
    <w:rsid w:val="00326F90"/>
    <w:rsid w:val="003E7CE5"/>
    <w:rsid w:val="00453922"/>
    <w:rsid w:val="00503020"/>
    <w:rsid w:val="005421F9"/>
    <w:rsid w:val="006031CC"/>
    <w:rsid w:val="00620273"/>
    <w:rsid w:val="006F6808"/>
    <w:rsid w:val="00701410"/>
    <w:rsid w:val="007C0E04"/>
    <w:rsid w:val="00801EEC"/>
    <w:rsid w:val="008129F9"/>
    <w:rsid w:val="00907478"/>
    <w:rsid w:val="009310E1"/>
    <w:rsid w:val="00951FEE"/>
    <w:rsid w:val="009E4599"/>
    <w:rsid w:val="00A15CA8"/>
    <w:rsid w:val="00AA1D8D"/>
    <w:rsid w:val="00AB4832"/>
    <w:rsid w:val="00AF10D6"/>
    <w:rsid w:val="00B47730"/>
    <w:rsid w:val="00B57429"/>
    <w:rsid w:val="00B738BA"/>
    <w:rsid w:val="00BD4AA4"/>
    <w:rsid w:val="00C10193"/>
    <w:rsid w:val="00C165E9"/>
    <w:rsid w:val="00CB0664"/>
    <w:rsid w:val="00CB1E10"/>
    <w:rsid w:val="00D3216A"/>
    <w:rsid w:val="00E10B2A"/>
    <w:rsid w:val="00F4583C"/>
    <w:rsid w:val="00FC3903"/>
    <w:rsid w:val="00FC693F"/>
    <w:rsid w:val="00FD7AC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3F1CA5-6305-498C-A4D0-0FF12A807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3376</Words>
  <Characters>19249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Williams</cp:lastModifiedBy>
  <cp:revision>31</cp:revision>
  <dcterms:created xsi:type="dcterms:W3CDTF">2013-12-23T23:15:00Z</dcterms:created>
  <dcterms:modified xsi:type="dcterms:W3CDTF">2026-06-01T17:25:00Z</dcterms:modified>
  <cp:category/>
</cp:coreProperties>
</file>