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CA186" w14:textId="07057211" w:rsidR="00DE072A" w:rsidRDefault="00604975" w:rsidP="00516527">
      <w:pPr>
        <w:rPr>
          <w:rFonts w:ascii="Times New Roman" w:hAnsi="Times New Roman" w:cs="Times New Roman"/>
          <w:sz w:val="24"/>
          <w:szCs w:val="24"/>
        </w:rPr>
      </w:pPr>
      <w:r>
        <w:rPr>
          <w:rFonts w:ascii="Times New Roman" w:hAnsi="Times New Roman" w:cs="Times New Roman"/>
          <w:sz w:val="24"/>
          <w:szCs w:val="24"/>
        </w:rPr>
        <w:t>NOTES</w:t>
      </w:r>
      <w:r w:rsidR="00516527">
        <w:rPr>
          <w:rFonts w:ascii="Times New Roman" w:hAnsi="Times New Roman" w:cs="Times New Roman"/>
          <w:sz w:val="24"/>
          <w:szCs w:val="24"/>
        </w:rPr>
        <w:t>:</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DE072A" w:rsidRPr="006E412A" w14:paraId="3D66100B" w14:textId="77777777" w:rsidTr="00F12B67">
        <w:trPr>
          <w:trHeight w:val="576"/>
          <w:jc w:val="center"/>
        </w:trPr>
        <w:tc>
          <w:tcPr>
            <w:tcW w:w="5000" w:type="pct"/>
            <w:gridSpan w:val="3"/>
          </w:tcPr>
          <w:p w14:paraId="723D86B7" w14:textId="00D9898C" w:rsidR="00DE072A" w:rsidRPr="006E412A" w:rsidRDefault="00DE07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r>
              <w:rPr>
                <w:rFonts w:ascii="Times New Roman" w:hAnsi="Times New Roman" w:cs="Times New Roman"/>
                <w:sz w:val="24"/>
                <w:szCs w:val="24"/>
              </w:rPr>
              <w:t xml:space="preserve">allinfo </w:t>
            </w:r>
            <w:r w:rsidRPr="006E412A">
              <w:rPr>
                <w:rFonts w:ascii="Times New Roman" w:eastAsia="Times New Roman" w:hAnsi="Times New Roman" w:cs="Times New Roman"/>
                <w:iCs/>
                <w:sz w:val="24"/>
                <w:szCs w:val="24"/>
              </w:rPr>
              <w:t>%}</w:t>
            </w:r>
          </w:p>
        </w:tc>
      </w:tr>
      <w:tr w:rsidR="00DE072A" w:rsidRPr="006E412A" w14:paraId="40E15A60" w14:textId="77777777" w:rsidTr="00F12B67">
        <w:trPr>
          <w:trHeight w:val="576"/>
          <w:jc w:val="center"/>
        </w:trPr>
        <w:tc>
          <w:tcPr>
            <w:tcW w:w="2686" w:type="pct"/>
          </w:tcPr>
          <w:p w14:paraId="0F824FB0" w14:textId="77777777" w:rsidR="00DE072A" w:rsidRPr="006E412A" w:rsidRDefault="00DE07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851" w:type="pct"/>
          </w:tcPr>
          <w:p w14:paraId="1537D6AD"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1462" w:type="pct"/>
          </w:tcPr>
          <w:p w14:paraId="1A33661E"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DE072A" w:rsidRPr="006E412A" w14:paraId="7448804E" w14:textId="77777777" w:rsidTr="00F12B67">
        <w:trPr>
          <w:trHeight w:val="576"/>
          <w:jc w:val="center"/>
        </w:trPr>
        <w:tc>
          <w:tcPr>
            <w:tcW w:w="5000" w:type="pct"/>
            <w:gridSpan w:val="3"/>
          </w:tcPr>
          <w:p w14:paraId="2054E7AC" w14:textId="77777777" w:rsidR="00DE072A" w:rsidRPr="006E412A" w:rsidRDefault="00DE07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6FEE405B" w14:textId="77777777" w:rsidR="00604975" w:rsidRDefault="00604975" w:rsidP="00516527">
      <w:pPr>
        <w:rPr>
          <w:rFonts w:ascii="Times New Roman" w:eastAsia="Times New Roman" w:hAnsi="Times New Roman" w:cs="Times New Roman"/>
          <w:sz w:val="24"/>
          <w:szCs w:val="24"/>
        </w:rPr>
      </w:pPr>
    </w:p>
    <w:p w14:paraId="6F3DB366" w14:textId="77777777" w:rsidR="00604975" w:rsidRDefault="006049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1835CF" w14:textId="2D27E5F3" w:rsidR="00604975" w:rsidRDefault="00604975" w:rsidP="00604975">
      <w:pPr>
        <w:rPr>
          <w:rFonts w:ascii="Times New Roman" w:hAnsi="Times New Roman" w:cs="Times New Roman"/>
          <w:sz w:val="24"/>
          <w:szCs w:val="24"/>
        </w:rPr>
      </w:pPr>
      <w:r>
        <w:rPr>
          <w:rFonts w:ascii="Times New Roman" w:hAnsi="Times New Roman" w:cs="Times New Roman"/>
          <w:sz w:val="24"/>
          <w:szCs w:val="24"/>
        </w:rPr>
        <w:lastRenderedPageBreak/>
        <w:t>PROPERTY INFO</w:t>
      </w:r>
      <w:r>
        <w:rPr>
          <w:rFonts w:ascii="Times New Roman" w:hAnsi="Times New Roman" w:cs="Times New Roman"/>
          <w:sz w:val="24"/>
          <w:szCs w:val="24"/>
        </w:rPr>
        <w:t>:</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04975" w:rsidRPr="006E412A" w14:paraId="4D580708" w14:textId="77777777" w:rsidTr="002C2D35">
        <w:trPr>
          <w:trHeight w:val="576"/>
          <w:jc w:val="center"/>
        </w:trPr>
        <w:tc>
          <w:tcPr>
            <w:tcW w:w="5000" w:type="pct"/>
            <w:gridSpan w:val="3"/>
          </w:tcPr>
          <w:p w14:paraId="14D51374" w14:textId="00A3691A" w:rsidR="00604975" w:rsidRPr="006E412A" w:rsidRDefault="00604975" w:rsidP="002C2D3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r>
              <w:rPr>
                <w:rFonts w:ascii="Times New Roman" w:eastAsia="Times New Roman" w:hAnsi="Times New Roman" w:cs="Times New Roman"/>
                <w:iCs/>
                <w:sz w:val="24"/>
                <w:szCs w:val="24"/>
              </w:rPr>
              <w:t>prop</w:t>
            </w:r>
            <w:bookmarkStart w:id="0" w:name="_GoBack"/>
            <w:bookmarkEnd w:id="0"/>
            <w:r>
              <w:rPr>
                <w:rFonts w:ascii="Times New Roman" w:hAnsi="Times New Roman" w:cs="Times New Roman"/>
                <w:sz w:val="24"/>
                <w:szCs w:val="24"/>
              </w:rPr>
              <w:t xml:space="preserve">info </w:t>
            </w:r>
            <w:r w:rsidRPr="006E412A">
              <w:rPr>
                <w:rFonts w:ascii="Times New Roman" w:eastAsia="Times New Roman" w:hAnsi="Times New Roman" w:cs="Times New Roman"/>
                <w:iCs/>
                <w:sz w:val="24"/>
                <w:szCs w:val="24"/>
              </w:rPr>
              <w:t>%}</w:t>
            </w:r>
          </w:p>
        </w:tc>
      </w:tr>
      <w:tr w:rsidR="00604975" w:rsidRPr="006E412A" w14:paraId="77E20E0D" w14:textId="77777777" w:rsidTr="002C2D35">
        <w:trPr>
          <w:trHeight w:val="576"/>
          <w:jc w:val="center"/>
        </w:trPr>
        <w:tc>
          <w:tcPr>
            <w:tcW w:w="2686" w:type="pct"/>
          </w:tcPr>
          <w:p w14:paraId="45129918" w14:textId="77777777" w:rsidR="00604975" w:rsidRPr="006E412A" w:rsidRDefault="00604975" w:rsidP="002C2D35">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851" w:type="pct"/>
          </w:tcPr>
          <w:p w14:paraId="758809BA"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1462" w:type="pct"/>
          </w:tcPr>
          <w:p w14:paraId="7EEA26DE"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04975" w:rsidRPr="006E412A" w14:paraId="1F4EB2FC" w14:textId="77777777" w:rsidTr="002C2D35">
        <w:trPr>
          <w:trHeight w:val="576"/>
          <w:jc w:val="center"/>
        </w:trPr>
        <w:tc>
          <w:tcPr>
            <w:tcW w:w="5000" w:type="pct"/>
            <w:gridSpan w:val="3"/>
          </w:tcPr>
          <w:p w14:paraId="36420F38" w14:textId="77777777" w:rsidR="00604975" w:rsidRPr="006E412A" w:rsidRDefault="00604975" w:rsidP="002C2D35">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6ECE40D7" w14:textId="7A07EE62" w:rsidR="00516527" w:rsidRDefault="00516527" w:rsidP="005165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A7B14" w14:textId="77777777" w:rsidR="00592044" w:rsidRDefault="00592044">
      <w:pPr>
        <w:spacing w:after="0" w:line="240" w:lineRule="auto"/>
        <w:rPr>
          <w:rFonts w:ascii="Times New Roman" w:eastAsia="Times New Roman" w:hAnsi="Times New Roman" w:cs="Times New Roman"/>
          <w:sz w:val="24"/>
          <w:szCs w:val="24"/>
        </w:rPr>
      </w:pPr>
    </w:p>
    <w:p w14:paraId="36709B96"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Detroit – Board of Review</w:t>
      </w:r>
    </w:p>
    <w:p w14:paraId="190DA3EF"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Coleman A. Young Municipal Center</w:t>
      </w:r>
    </w:p>
    <w:p w14:paraId="3B56C484"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Woodward Ave., Suite 824</w:t>
      </w:r>
    </w:p>
    <w:p w14:paraId="0ABDDABE"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Detroit, MI 48226</w:t>
      </w:r>
    </w:p>
    <w:p w14:paraId="307D55E2" w14:textId="77777777" w:rsidR="00592044" w:rsidRDefault="00592044">
      <w:pPr>
        <w:spacing w:after="0"/>
        <w:rPr>
          <w:rFonts w:ascii="Times New Roman" w:eastAsia="Times New Roman" w:hAnsi="Times New Roman" w:cs="Times New Roman"/>
          <w:sz w:val="24"/>
          <w:szCs w:val="24"/>
        </w:rPr>
      </w:pPr>
    </w:p>
    <w:p w14:paraId="5354950B" w14:textId="77777777" w:rsidR="00592044" w:rsidRDefault="00A86F77">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Protest of Property Tax Assessment </w:t>
      </w:r>
    </w:p>
    <w:p w14:paraId="6EE6ADF2"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Homeowner: </w:t>
      </w:r>
      <w:r w:rsidR="00516527" w:rsidRPr="00516527">
        <w:rPr>
          <w:rFonts w:ascii="Times New Roman" w:eastAsia="Times New Roman" w:hAnsi="Times New Roman" w:cs="Times New Roman"/>
          <w:color w:val="000000"/>
          <w:sz w:val="24"/>
          <w:szCs w:val="24"/>
        </w:rPr>
        <w:t>{{ owner }}</w:t>
      </w:r>
    </w:p>
    <w:p w14:paraId="22AC0CC9"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Parcel Identification: </w:t>
      </w:r>
      <w:r w:rsidR="00516527" w:rsidRPr="00516527">
        <w:rPr>
          <w:rFonts w:ascii="Times New Roman" w:eastAsia="Times New Roman" w:hAnsi="Times New Roman" w:cs="Times New Roman"/>
          <w:color w:val="000000"/>
          <w:sz w:val="24"/>
          <w:szCs w:val="24"/>
        </w:rPr>
        <w:t>{{ pin }}</w:t>
      </w:r>
      <w:r>
        <w:rPr>
          <w:rFonts w:ascii="Times New Roman" w:eastAsia="Times New Roman" w:hAnsi="Times New Roman" w:cs="Times New Roman"/>
          <w:color w:val="000000"/>
          <w:sz w:val="24"/>
          <w:szCs w:val="24"/>
        </w:rPr>
        <w:br/>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p>
    <w:p w14:paraId="3D7335D7" w14:textId="77777777" w:rsidR="00592044" w:rsidRDefault="00592044">
      <w:pPr>
        <w:spacing w:after="0"/>
        <w:rPr>
          <w:rFonts w:ascii="Times New Roman" w:eastAsia="Times New Roman" w:hAnsi="Times New Roman" w:cs="Times New Roman"/>
          <w:sz w:val="24"/>
          <w:szCs w:val="24"/>
        </w:rPr>
      </w:pPr>
    </w:p>
    <w:p w14:paraId="07E5432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014D5AE1" w14:textId="77777777" w:rsidR="00592044" w:rsidRDefault="00592044">
      <w:pPr>
        <w:spacing w:after="0"/>
        <w:rPr>
          <w:rFonts w:ascii="Times New Roman" w:eastAsia="Times New Roman" w:hAnsi="Times New Roman" w:cs="Times New Roman"/>
          <w:sz w:val="24"/>
          <w:szCs w:val="24"/>
        </w:rPr>
      </w:pPr>
    </w:p>
    <w:p w14:paraId="0FA40FF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by [HIS/HER] authorized representative, the Property Tax Appeal Project (“PTAP”) at the University of Michigan Law School. (Appendix 1: Letter of Authorization)</w:t>
      </w:r>
    </w:p>
    <w:p w14:paraId="2404CF8C" w14:textId="77777777" w:rsidR="00592044" w:rsidRDefault="00592044">
      <w:pPr>
        <w:spacing w:after="0"/>
        <w:ind w:left="720"/>
        <w:jc w:val="both"/>
        <w:rPr>
          <w:rFonts w:ascii="Times New Roman" w:eastAsia="Times New Roman" w:hAnsi="Times New Roman" w:cs="Times New Roman"/>
          <w:sz w:val="24"/>
          <w:szCs w:val="24"/>
        </w:rPr>
      </w:pPr>
    </w:p>
    <w:p w14:paraId="679AECE9"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Notice of Assessment,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an assessed value of </w:t>
      </w:r>
      <w:r w:rsidR="00516527">
        <w:rPr>
          <w:rFonts w:ascii="Times New Roman" w:eastAsia="Times New Roman" w:hAnsi="Times New Roman" w:cs="Times New Roman"/>
          <w:sz w:val="24"/>
          <w:szCs w:val="24"/>
        </w:rPr>
        <w:t>{{ current_sev }}</w:t>
      </w:r>
      <w:r>
        <w:rPr>
          <w:rFonts w:ascii="Times New Roman" w:eastAsia="Times New Roman" w:hAnsi="Times New Roman" w:cs="Times New Roman"/>
          <w:sz w:val="24"/>
          <w:szCs w:val="24"/>
        </w:rPr>
        <w:t xml:space="preserve">. This means that the Assessment Division calculates that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 fair market value of </w:t>
      </w:r>
      <w:r w:rsidR="00516527">
        <w:rPr>
          <w:rFonts w:ascii="Times New Roman" w:hAnsi="Times New Roman" w:cs="Times New Roman"/>
          <w:sz w:val="24"/>
          <w:szCs w:val="24"/>
        </w:rPr>
        <w:t>{{ current_faircash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p>
    <w:p w14:paraId="3D7F8DEF" w14:textId="77777777" w:rsidR="00592044" w:rsidRDefault="00592044">
      <w:pPr>
        <w:spacing w:after="0"/>
        <w:ind w:left="720"/>
        <w:jc w:val="both"/>
        <w:rPr>
          <w:rFonts w:ascii="Times New Roman" w:eastAsia="Times New Roman" w:hAnsi="Times New Roman" w:cs="Times New Roman"/>
          <w:sz w:val="24"/>
          <w:szCs w:val="24"/>
        </w:rPr>
      </w:pPr>
    </w:p>
    <w:p w14:paraId="6174DF8A"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sales price of comparable properties,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property has a market value of </w:t>
      </w:r>
      <w:r w:rsidR="00516527">
        <w:rPr>
          <w:rFonts w:ascii="Times New Roman" w:hAnsi="Times New Roman" w:cs="Times New Roman"/>
          <w:sz w:val="24"/>
          <w:szCs w:val="24"/>
        </w:rPr>
        <w:t xml:space="preserve">{{ contention_faircash }} </w:t>
      </w:r>
      <w:r>
        <w:rPr>
          <w:rFonts w:ascii="Times New Roman" w:eastAsia="Times New Roman" w:hAnsi="Times New Roman" w:cs="Times New Roman"/>
          <w:sz w:val="24"/>
          <w:szCs w:val="24"/>
        </w:rPr>
        <w:t xml:space="preserve">and is properly assessed at </w:t>
      </w:r>
      <w:r w:rsidR="00516527">
        <w:rPr>
          <w:rFonts w:ascii="Times New Roman" w:hAnsi="Times New Roman" w:cs="Times New Roman"/>
          <w:sz w:val="24"/>
          <w:szCs w:val="24"/>
        </w:rPr>
        <w:t>{{ contention_sev }}</w:t>
      </w:r>
      <w:r>
        <w:rPr>
          <w:rFonts w:ascii="Times New Roman" w:eastAsia="Times New Roman" w:hAnsi="Times New Roman" w:cs="Times New Roman"/>
          <w:sz w:val="24"/>
          <w:szCs w:val="24"/>
        </w:rPr>
        <w:t>.</w:t>
      </w:r>
    </w:p>
    <w:p w14:paraId="5BB0A98B" w14:textId="77777777" w:rsidR="00592044" w:rsidRDefault="00592044">
      <w:pPr>
        <w:spacing w:after="0"/>
        <w:ind w:left="720"/>
        <w:jc w:val="both"/>
        <w:rPr>
          <w:rFonts w:ascii="Times New Roman" w:eastAsia="Times New Roman" w:hAnsi="Times New Roman" w:cs="Times New Roman"/>
          <w:sz w:val="24"/>
          <w:szCs w:val="24"/>
        </w:rPr>
      </w:pPr>
    </w:p>
    <w:p w14:paraId="23650F5E"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on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’s property:</w:t>
      </w:r>
    </w:p>
    <w:p w14:paraId="770B42C4" w14:textId="77777777" w:rsidR="006E412A" w:rsidRDefault="006E412A" w:rsidP="006E412A">
      <w:pPr>
        <w:spacing w:after="0"/>
        <w:jc w:val="both"/>
        <w:rPr>
          <w:rFonts w:ascii="Times New Roman" w:eastAsia="Times New Roman" w:hAnsi="Times New Roman" w:cs="Times New Roman"/>
          <w:sz w:val="24"/>
          <w:szCs w:val="24"/>
        </w:rPr>
      </w:pPr>
    </w:p>
    <w:p w14:paraId="060D4D32" w14:textId="77777777" w:rsidR="006E412A" w:rsidRDefault="006E412A"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7CA2D3A5" w14:textId="77777777" w:rsidR="006E412A" w:rsidRDefault="006E412A"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25FE23E5" w14:textId="1D3046BB" w:rsidR="00277933"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comparable properties:</w:t>
      </w:r>
    </w:p>
    <w:p w14:paraId="601634BF" w14:textId="77777777" w:rsidR="00277933" w:rsidRDefault="002779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E412A" w14:paraId="7E5A52C3" w14:textId="77777777" w:rsidTr="00277933">
        <w:trPr>
          <w:trHeight w:val="1152"/>
          <w:jc w:val="center"/>
        </w:trPr>
        <w:tc>
          <w:tcPr>
            <w:tcW w:w="2686" w:type="pct"/>
            <w:shd w:val="clear" w:color="auto" w:fill="F2F2F2"/>
          </w:tcPr>
          <w:p w14:paraId="7351035F"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xml:space="preserve">{%tc for col in </w:t>
            </w:r>
            <w:r>
              <w:rPr>
                <w:rFonts w:ascii="Times New Roman" w:eastAsia="Times New Roman" w:hAnsi="Times New Roman" w:cs="Times New Roman"/>
                <w:b/>
                <w:sz w:val="24"/>
                <w:szCs w:val="24"/>
              </w:rPr>
              <w:t>comp</w:t>
            </w:r>
            <w:r w:rsidRPr="006E412A">
              <w:rPr>
                <w:rFonts w:ascii="Times New Roman" w:eastAsia="Times New Roman" w:hAnsi="Times New Roman" w:cs="Times New Roman"/>
                <w:b/>
                <w:sz w:val="24"/>
                <w:szCs w:val="24"/>
              </w:rPr>
              <w:t>_labels %}</w:t>
            </w:r>
          </w:p>
        </w:tc>
        <w:tc>
          <w:tcPr>
            <w:tcW w:w="851" w:type="pct"/>
            <w:shd w:val="clear" w:color="auto" w:fill="F2F2F2"/>
          </w:tcPr>
          <w:p w14:paraId="05FB45C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1462" w:type="pct"/>
            <w:shd w:val="clear" w:color="auto" w:fill="F2F2F2"/>
          </w:tcPr>
          <w:p w14:paraId="13B0BD4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4E021DBE" w14:textId="77777777" w:rsidTr="00277933">
        <w:trPr>
          <w:trHeight w:val="576"/>
          <w:jc w:val="center"/>
        </w:trPr>
        <w:tc>
          <w:tcPr>
            <w:tcW w:w="5000" w:type="pct"/>
            <w:gridSpan w:val="3"/>
          </w:tcPr>
          <w:p w14:paraId="6A25FA59"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r>
              <w:rPr>
                <w:rFonts w:ascii="Times New Roman" w:eastAsia="Times New Roman" w:hAnsi="Times New Roman" w:cs="Times New Roman"/>
                <w:iCs/>
                <w:sz w:val="24"/>
                <w:szCs w:val="24"/>
              </w:rPr>
              <w:t>comp</w:t>
            </w:r>
            <w:r w:rsidRPr="006E412A">
              <w:rPr>
                <w:rFonts w:ascii="Times New Roman" w:eastAsia="Times New Roman" w:hAnsi="Times New Roman" w:cs="Times New Roman"/>
                <w:iCs/>
                <w:sz w:val="24"/>
                <w:szCs w:val="24"/>
              </w:rPr>
              <w:t>_contents %}</w:t>
            </w:r>
          </w:p>
        </w:tc>
      </w:tr>
      <w:tr w:rsidR="006E412A" w14:paraId="218D606A" w14:textId="77777777" w:rsidTr="00277933">
        <w:trPr>
          <w:trHeight w:val="576"/>
          <w:jc w:val="center"/>
        </w:trPr>
        <w:tc>
          <w:tcPr>
            <w:tcW w:w="2686" w:type="pct"/>
          </w:tcPr>
          <w:p w14:paraId="423BF411" w14:textId="77777777" w:rsidR="006E412A" w:rsidRPr="006E412A" w:rsidRDefault="006E41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851" w:type="pct"/>
          </w:tcPr>
          <w:p w14:paraId="110EF530" w14:textId="77777777" w:rsidR="006E412A" w:rsidRPr="006E412A" w:rsidRDefault="006E41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1462" w:type="pct"/>
          </w:tcPr>
          <w:p w14:paraId="05E0F115" w14:textId="77777777" w:rsidR="006E412A" w:rsidRPr="006E412A" w:rsidRDefault="006E41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0A793763" w14:textId="77777777" w:rsidTr="00277933">
        <w:trPr>
          <w:trHeight w:val="576"/>
          <w:jc w:val="center"/>
        </w:trPr>
        <w:tc>
          <w:tcPr>
            <w:tcW w:w="5000" w:type="pct"/>
            <w:gridSpan w:val="3"/>
          </w:tcPr>
          <w:p w14:paraId="47B8754F" w14:textId="77777777" w:rsidR="006E412A" w:rsidRPr="006E412A" w:rsidRDefault="006E41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5B75E52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that PTAP used searches all Detroit parcels to find properties with comparable features. All comparable properties have the same exterior, basement, garage, and height as the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property. The comparable properties also have approximately the same number of rooms, square footage, and age. To calculate the contention value for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’s property, PTAP averaged the sales prices of the comparable properties, this average was then divided in half.</w:t>
      </w:r>
    </w:p>
    <w:p w14:paraId="54E48C77" w14:textId="77777777" w:rsidR="00592044" w:rsidRDefault="00592044">
      <w:pPr>
        <w:spacing w:after="0"/>
        <w:ind w:left="720"/>
        <w:jc w:val="both"/>
        <w:rPr>
          <w:rFonts w:ascii="Times New Roman" w:eastAsia="Times New Roman" w:hAnsi="Times New Roman" w:cs="Times New Roman"/>
          <w:sz w:val="24"/>
          <w:szCs w:val="24"/>
        </w:rPr>
      </w:pPr>
    </w:p>
    <w:p w14:paraId="5EED8AC5"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the Assessment Division fail to account for the above-listed comparable properties in calculating the assessed value for </w:t>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but it also failed to consider the costly structural damage that detracts from the property’s market value.</w:t>
      </w:r>
    </w:p>
    <w:p w14:paraId="59F183BA" w14:textId="77777777" w:rsidR="00592044" w:rsidRDefault="00592044">
      <w:pPr>
        <w:spacing w:after="0"/>
        <w:ind w:left="720"/>
        <w:jc w:val="both"/>
        <w:rPr>
          <w:rFonts w:ascii="Times New Roman" w:eastAsia="Times New Roman" w:hAnsi="Times New Roman" w:cs="Times New Roman"/>
          <w:sz w:val="24"/>
          <w:szCs w:val="24"/>
        </w:rPr>
      </w:pPr>
    </w:p>
    <w:p w14:paraId="21576072" w14:textId="77777777" w:rsidR="00592044" w:rsidRDefault="00516527">
      <w:pPr>
        <w:spacing w:after="0"/>
        <w:ind w:left="720"/>
        <w:jc w:val="both"/>
        <w:rPr>
          <w:rFonts w:ascii="Times New Roman" w:eastAsia="Times New Roman" w:hAnsi="Times New Roman" w:cs="Times New Roman"/>
          <w:sz w:val="24"/>
          <w:szCs w:val="24"/>
        </w:rPr>
      </w:pPr>
      <w:r w:rsidRPr="00516527">
        <w:rPr>
          <w:rFonts w:ascii="Times New Roman" w:eastAsia="Times New Roman" w:hAnsi="Times New Roman" w:cs="Times New Roman"/>
          <w:color w:val="000000"/>
          <w:sz w:val="24"/>
          <w:szCs w:val="24"/>
        </w:rPr>
        <w:t>{{ pin }}</w:t>
      </w:r>
      <w:r w:rsidR="00A86F77">
        <w:rPr>
          <w:rFonts w:ascii="Times New Roman" w:eastAsia="Times New Roman" w:hAnsi="Times New Roman" w:cs="Times New Roman"/>
          <w:sz w:val="24"/>
          <w:szCs w:val="24"/>
        </w:rPr>
        <w:t xml:space="preserve"> has extensive structural damage that the Assessment Division did not account for when calculating the assessed value. Specifically, [INSERT A DESCRIPTION OF THE STRUCTURAL DAMAGE TO THE PROPERTY]</w:t>
      </w:r>
      <w:r w:rsidR="006E412A">
        <w:rPr>
          <w:rFonts w:ascii="Times New Roman" w:eastAsia="Times New Roman" w:hAnsi="Times New Roman" w:cs="Times New Roman"/>
          <w:sz w:val="24"/>
          <w:szCs w:val="24"/>
        </w:rPr>
        <w:t>.</w:t>
      </w:r>
      <w:r w:rsidR="00A86F77">
        <w:rPr>
          <w:rFonts w:ascii="Times New Roman" w:eastAsia="Times New Roman" w:hAnsi="Times New Roman" w:cs="Times New Roman"/>
          <w:sz w:val="24"/>
          <w:szCs w:val="24"/>
        </w:rPr>
        <w:t xml:space="preserve"> As such, the property’s assessed value should be significantly reduced. </w:t>
      </w:r>
    </w:p>
    <w:p w14:paraId="301BC224" w14:textId="77777777" w:rsidR="00592044" w:rsidRDefault="00592044">
      <w:pPr>
        <w:spacing w:after="0"/>
        <w:jc w:val="both"/>
        <w:rPr>
          <w:rFonts w:ascii="Times New Roman" w:eastAsia="Times New Roman" w:hAnsi="Times New Roman" w:cs="Times New Roman"/>
          <w:sz w:val="24"/>
          <w:szCs w:val="24"/>
        </w:rPr>
      </w:pPr>
    </w:p>
    <w:p w14:paraId="33F3B8EB" w14:textId="77777777" w:rsidR="00592044" w:rsidRDefault="00A86F77">
      <w:pPr>
        <w:spacing w:after="0"/>
        <w:ind w:left="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The Michigan Constitution requires that properties be assessed at no more than 50% of their market value. Given that the true market value of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is </w:t>
      </w:r>
      <w:r w:rsidR="00516527">
        <w:rPr>
          <w:rFonts w:ascii="Times New Roman" w:eastAsia="Times New Roman" w:hAnsi="Times New Roman" w:cs="Times New Roman"/>
          <w:sz w:val="24"/>
          <w:szCs w:val="24"/>
        </w:rPr>
        <w:t>{{ contention_faircash }}</w:t>
      </w:r>
      <w:r>
        <w:rPr>
          <w:rFonts w:ascii="Times New Roman" w:eastAsia="Times New Roman" w:hAnsi="Times New Roman" w:cs="Times New Roman"/>
          <w:sz w:val="24"/>
          <w:szCs w:val="24"/>
        </w:rPr>
        <w:t xml:space="preserve">, the assessed value should be no more than </w:t>
      </w:r>
      <w:r w:rsidR="00516527">
        <w:rPr>
          <w:rFonts w:ascii="Times New Roman" w:eastAsia="Times New Roman" w:hAnsi="Times New Roman" w:cs="Times New Roman"/>
          <w:sz w:val="24"/>
          <w:szCs w:val="24"/>
        </w:rPr>
        <w:t>{{ contention_sev }}.</w:t>
      </w:r>
    </w:p>
    <w:p w14:paraId="2809E10B" w14:textId="77777777" w:rsidR="00592044" w:rsidRDefault="00592044">
      <w:pPr>
        <w:spacing w:after="0"/>
        <w:rPr>
          <w:rFonts w:ascii="Times New Roman" w:eastAsia="Times New Roman" w:hAnsi="Times New Roman" w:cs="Times New Roman"/>
          <w:sz w:val="24"/>
          <w:szCs w:val="24"/>
        </w:rPr>
      </w:pPr>
    </w:p>
    <w:p w14:paraId="1E0B3C63" w14:textId="77777777" w:rsidR="00592044" w:rsidRDefault="00592044">
      <w:pPr>
        <w:spacing w:after="0"/>
        <w:rPr>
          <w:rFonts w:ascii="Times New Roman" w:eastAsia="Times New Roman" w:hAnsi="Times New Roman" w:cs="Times New Roman"/>
          <w:sz w:val="24"/>
          <w:szCs w:val="24"/>
        </w:rPr>
      </w:pPr>
    </w:p>
    <w:p w14:paraId="30187031"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3494D38E" w14:textId="77777777" w:rsidR="00592044" w:rsidRDefault="00592044">
      <w:pPr>
        <w:spacing w:after="0"/>
        <w:rPr>
          <w:rFonts w:ascii="Times New Roman" w:eastAsia="Times New Roman" w:hAnsi="Times New Roman" w:cs="Times New Roman"/>
          <w:sz w:val="24"/>
          <w:szCs w:val="24"/>
        </w:rPr>
      </w:pPr>
    </w:p>
    <w:p w14:paraId="4C84BA9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1AF60733" w14:textId="77777777" w:rsidR="00592044" w:rsidRDefault="00A86F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Law School, Property Tax Appeal Project</w:t>
      </w:r>
    </w:p>
    <w:p w14:paraId="6B7EDDAE"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Legal Representative</w:t>
      </w:r>
    </w:p>
    <w:p w14:paraId="7D0B5837" w14:textId="77777777" w:rsidR="00592044" w:rsidRDefault="00A86F77">
      <w:pPr>
        <w:rPr>
          <w:rFonts w:ascii="Times New Roman" w:eastAsia="Times New Roman" w:hAnsi="Times New Roman" w:cs="Times New Roman"/>
          <w:sz w:val="24"/>
          <w:szCs w:val="24"/>
        </w:rPr>
      </w:pPr>
      <w:r>
        <w:br w:type="page"/>
      </w:r>
    </w:p>
    <w:p w14:paraId="3744277F" w14:textId="77777777" w:rsidR="00592044" w:rsidRDefault="00592044">
      <w:pPr>
        <w:spacing w:after="0"/>
        <w:rPr>
          <w:rFonts w:ascii="Times New Roman" w:eastAsia="Times New Roman" w:hAnsi="Times New Roman" w:cs="Times New Roman"/>
          <w:b/>
          <w:sz w:val="24"/>
          <w:szCs w:val="24"/>
        </w:rPr>
      </w:pPr>
    </w:p>
    <w:p w14:paraId="4CAC142B" w14:textId="77777777" w:rsidR="00592044" w:rsidRDefault="00A86F7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LANGUAGE, INCLUDE AS NEEDED</w:t>
      </w:r>
    </w:p>
    <w:p w14:paraId="008E9815" w14:textId="77777777" w:rsidR="00592044" w:rsidRDefault="00A86F77">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Below is language you should insert into the appeal letter above if the clients home has recently been sold, their property is misclassified, the client is not receiving the PRE, or if the client’s home is surrounded by many abandoned or vacant properties. </w:t>
      </w:r>
    </w:p>
    <w:p w14:paraId="796D04AA" w14:textId="77777777" w:rsidR="00592044" w:rsidRDefault="00592044">
      <w:pPr>
        <w:spacing w:after="0"/>
        <w:rPr>
          <w:rFonts w:ascii="Times New Roman" w:eastAsia="Times New Roman" w:hAnsi="Times New Roman" w:cs="Times New Roman"/>
          <w:sz w:val="24"/>
          <w:szCs w:val="24"/>
        </w:rPr>
      </w:pPr>
    </w:p>
    <w:p w14:paraId="6658DFF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purchased their home within the last two years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14:paraId="7A944BC2" w14:textId="77777777" w:rsidR="00592044" w:rsidRDefault="00592044">
      <w:pPr>
        <w:spacing w:after="0"/>
        <w:rPr>
          <w:rFonts w:ascii="Times New Roman" w:eastAsia="Times New Roman" w:hAnsi="Times New Roman" w:cs="Times New Roman"/>
          <w:sz w:val="24"/>
          <w:szCs w:val="24"/>
        </w:rPr>
      </w:pPr>
    </w:p>
    <w:p w14:paraId="262B538E"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and/or buyer were represented by real estate agents, include this</w:t>
      </w:r>
    </w:p>
    <w:p w14:paraId="67312EA6"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 the buyer negotiated the price, discuss this</w:t>
      </w:r>
    </w:p>
    <w:p w14:paraId="64D77B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buyer’s real estate agent advised on the market value of the home/reviewed comparable properties, discuss this</w:t>
      </w:r>
    </w:p>
    <w:p w14:paraId="39B39912"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your coordinator to send you a screenshot of the transaction from the City’s online database!</w:t>
      </w:r>
    </w:p>
    <w:p w14:paraId="3A0407FA" w14:textId="77777777" w:rsidR="00592044" w:rsidRDefault="00592044">
      <w:pPr>
        <w:spacing w:after="0"/>
        <w:rPr>
          <w:rFonts w:ascii="Times New Roman" w:eastAsia="Times New Roman" w:hAnsi="Times New Roman" w:cs="Times New Roman"/>
          <w:b/>
          <w:sz w:val="24"/>
          <w:szCs w:val="24"/>
        </w:rPr>
      </w:pPr>
    </w:p>
    <w:p w14:paraId="47B2E3C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property is misclassified as a commercial property: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City of Detroit improperly classified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property as a commercial property. The Board should correct this classification to residential, grant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100% of the Principal Residence Exemption, and reduce the millage rate accordingly.”</w:t>
      </w:r>
    </w:p>
    <w:p w14:paraId="34D8261A" w14:textId="77777777" w:rsidR="00592044" w:rsidRDefault="00592044">
      <w:pPr>
        <w:spacing w:after="0"/>
        <w:rPr>
          <w:rFonts w:ascii="Times New Roman" w:eastAsia="Times New Roman" w:hAnsi="Times New Roman" w:cs="Times New Roman"/>
          <w:sz w:val="24"/>
          <w:szCs w:val="24"/>
        </w:rPr>
      </w:pPr>
    </w:p>
    <w:p w14:paraId="633A75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If the property is misclassified as commercial, you will need to complete the PRE affidavit with the client: </w:t>
      </w:r>
      <w:hyperlink r:id="rId9">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54C463CC" w14:textId="77777777" w:rsidR="00592044" w:rsidRDefault="00592044">
      <w:pPr>
        <w:spacing w:after="0"/>
        <w:rPr>
          <w:rFonts w:ascii="Times New Roman" w:eastAsia="Times New Roman" w:hAnsi="Times New Roman" w:cs="Times New Roman"/>
          <w:sz w:val="24"/>
          <w:szCs w:val="24"/>
        </w:rPr>
      </w:pPr>
    </w:p>
    <w:p w14:paraId="0D357E87"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is not receiving the Principal Residence Exemption: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Exemption, and reduce the millage rate accordingly.”</w:t>
      </w:r>
    </w:p>
    <w:p w14:paraId="5843A65B" w14:textId="77777777" w:rsidR="00592044" w:rsidRDefault="00592044">
      <w:pPr>
        <w:spacing w:after="0"/>
        <w:rPr>
          <w:rFonts w:ascii="Times New Roman" w:eastAsia="Times New Roman" w:hAnsi="Times New Roman" w:cs="Times New Roman"/>
          <w:sz w:val="24"/>
          <w:szCs w:val="24"/>
        </w:rPr>
      </w:pPr>
    </w:p>
    <w:p w14:paraId="3651DC6F"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Complete the PRE affidavit with the client: </w:t>
      </w:r>
      <w:hyperlink r:id="rId10">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7D824CF6" w14:textId="77777777" w:rsidR="00592044" w:rsidRDefault="00592044">
      <w:pPr>
        <w:spacing w:after="0"/>
        <w:rPr>
          <w:rFonts w:ascii="Times New Roman" w:eastAsia="Times New Roman" w:hAnsi="Times New Roman" w:cs="Times New Roman"/>
          <w:sz w:val="24"/>
          <w:szCs w:val="24"/>
        </w:rPr>
      </w:pPr>
    </w:p>
    <w:p w14:paraId="0ACF73E1" w14:textId="77777777" w:rsidR="00592044" w:rsidRDefault="00A86F7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the client lives in a home with many abandoned/vacant properties:</w:t>
      </w:r>
      <w:r>
        <w:rPr>
          <w:rFonts w:ascii="Times New Roman" w:eastAsia="Times New Roman" w:hAnsi="Times New Roman" w:cs="Times New Roman"/>
          <w:sz w:val="24"/>
          <w:szCs w:val="24"/>
        </w:rPr>
        <w:t xml:space="preserve"> “The property’s assessed value should also be reduced because of its external obsolescence. A significant number of homes on the same block as </w:t>
      </w:r>
      <w:r w:rsidR="006E412A">
        <w:rPr>
          <w:rFonts w:ascii="Times New Roman" w:eastAsia="Times New Roman" w:hAnsi="Times New Roman" w:cs="Times New Roman"/>
          <w:sz w:val="24"/>
          <w:szCs w:val="24"/>
        </w:rPr>
        <w:t>{{ address }}</w:t>
      </w:r>
      <w:r>
        <w:rPr>
          <w:rFonts w:ascii="Times New Roman" w:eastAsia="Times New Roman" w:hAnsi="Times New Roman" w:cs="Times New Roman"/>
          <w:sz w:val="24"/>
          <w:szCs w:val="24"/>
        </w:rPr>
        <w:t xml:space="preserve"> are vacant or abandoned. Due to the high number of vacancies, [INSERT DESCRIPTION OF VACANCY-RELATED ISSUES]” </w:t>
      </w:r>
    </w:p>
    <w:p w14:paraId="539D319D" w14:textId="77777777" w:rsidR="00592044" w:rsidRDefault="00A86F7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Abandoned/vacant properties can lead to many issues, be sure to ask about the following and include a description, as necessary:</w:t>
      </w:r>
    </w:p>
    <w:p w14:paraId="50853AB0"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Trash dumping</w:t>
      </w:r>
    </w:p>
    <w:p w14:paraId="222945EF"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Excessive mold growth</w:t>
      </w:r>
    </w:p>
    <w:p w14:paraId="246CAD0E"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Fires in abandoned areas</w:t>
      </w:r>
    </w:p>
    <w:p w14:paraId="7837B3A5"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Rodents</w:t>
      </w:r>
    </w:p>
    <w:p w14:paraId="0BF3BEAD"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Whether they have reported any of these issues to the City, and, if so, what the City’s response was</w:t>
      </w:r>
    </w:p>
    <w:p w14:paraId="20E69E88" w14:textId="77777777" w:rsidR="00592044" w:rsidRDefault="00592044">
      <w:pPr>
        <w:spacing w:after="0"/>
        <w:rPr>
          <w:rFonts w:ascii="Times New Roman" w:eastAsia="Times New Roman" w:hAnsi="Times New Roman" w:cs="Times New Roman"/>
          <w:b/>
          <w:sz w:val="24"/>
          <w:szCs w:val="24"/>
        </w:rPr>
      </w:pPr>
    </w:p>
    <w:p w14:paraId="4A5C9D46" w14:textId="77777777" w:rsidR="00592044" w:rsidRDefault="00592044">
      <w:pPr>
        <w:spacing w:after="0"/>
        <w:ind w:left="360"/>
        <w:rPr>
          <w:rFonts w:ascii="Times New Roman" w:eastAsia="Times New Roman" w:hAnsi="Times New Roman" w:cs="Times New Roman"/>
          <w:sz w:val="24"/>
          <w:szCs w:val="24"/>
        </w:rPr>
      </w:pPr>
    </w:p>
    <w:p w14:paraId="5E0A6669" w14:textId="77777777" w:rsidR="00592044" w:rsidRPr="006E412A" w:rsidRDefault="00592044" w:rsidP="006E412A">
      <w:pPr>
        <w:spacing w:after="0"/>
        <w:rPr>
          <w:rFonts w:ascii="Times New Roman" w:eastAsia="Times New Roman" w:hAnsi="Times New Roman" w:cs="Times New Roman"/>
          <w:b/>
          <w:sz w:val="24"/>
          <w:szCs w:val="24"/>
        </w:rPr>
      </w:pPr>
    </w:p>
    <w:sectPr w:rsidR="00592044" w:rsidRPr="006E412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64D49" w14:textId="77777777" w:rsidR="00CB361D" w:rsidRDefault="00CB361D">
      <w:pPr>
        <w:spacing w:after="0" w:line="240" w:lineRule="auto"/>
      </w:pPr>
      <w:r>
        <w:separator/>
      </w:r>
    </w:p>
  </w:endnote>
  <w:endnote w:type="continuationSeparator" w:id="0">
    <w:p w14:paraId="621BD250" w14:textId="77777777" w:rsidR="00CB361D" w:rsidRDefault="00CB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50E40" w14:textId="77777777" w:rsidR="00CB361D" w:rsidRDefault="00CB361D">
      <w:pPr>
        <w:spacing w:after="0" w:line="240" w:lineRule="auto"/>
      </w:pPr>
      <w:r>
        <w:separator/>
      </w:r>
    </w:p>
  </w:footnote>
  <w:footnote w:type="continuationSeparator" w:id="0">
    <w:p w14:paraId="18AB29AC" w14:textId="77777777" w:rsidR="00CB361D" w:rsidRDefault="00CB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A4DE" w14:textId="77777777" w:rsidR="00592044" w:rsidRDefault="00A86F77">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EBA2D96" wp14:editId="7773CD3F">
          <wp:extent cx="2677843" cy="4308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7843" cy="4308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143E8A"/>
    <w:rsid w:val="00277933"/>
    <w:rsid w:val="00516527"/>
    <w:rsid w:val="00592044"/>
    <w:rsid w:val="00604975"/>
    <w:rsid w:val="006E412A"/>
    <w:rsid w:val="00817265"/>
    <w:rsid w:val="00A86F77"/>
    <w:rsid w:val="00AD0C72"/>
    <w:rsid w:val="00CB361D"/>
    <w:rsid w:val="00D44BFC"/>
    <w:rsid w:val="00DE072A"/>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ichigan.gov/documents/2368f_2605_7.pdf" TargetMode="External"/><Relationship Id="rId4" Type="http://schemas.openxmlformats.org/officeDocument/2006/relationships/styles" Target="styles.xml"/><Relationship Id="rId9" Type="http://schemas.openxmlformats.org/officeDocument/2006/relationships/hyperlink" Target="https://www.michigan.gov/documents/2368f_2605_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erhla</cp:lastModifiedBy>
  <cp:revision>8</cp:revision>
  <dcterms:created xsi:type="dcterms:W3CDTF">2020-12-28T21:59:00Z</dcterms:created>
  <dcterms:modified xsi:type="dcterms:W3CDTF">2021-01-17T03:30:00Z</dcterms:modified>
</cp:coreProperties>
</file>