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Detroit –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Coleman A. Young Municipal Center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Woodward Ave., Suite 824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Detroit, MI 48226</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 xml:space="preserve">Protest of Property Tax Assessment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Identification: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protest is submitted on behalf of {{ formal_owner }} by [HIS/HER] authorized representative, the Property Tax Appeal Project (“PTAP”) at the Coalition for Property Tax Justice. (See attached: Representation Agreement)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 formal_owner }}’s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pPr w:bottomFromText="180" w:horzAnchor="text" w:leftFromText="180" w:rightFromText="180" w:tblpX="90" w:tblpY="0" w:topFromText="180" w:vertAnchor="text"/>
        <w:tblW w:w="9270"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1075"/>
        <w:gridCol w:w="1625"/>
        <w:gridCol w:w="1263"/>
        <w:gridCol w:w="1350"/>
        <w:gridCol w:w="1612"/>
        <w:gridCol w:w="2344"/>
      </w:tblGrid>
      <w:tr>
        <w:trPr/>
        <w:tc>
          <w:tcPr>
            <w:tcW w:w="1075"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Baths</w:t>
            </w:r>
          </w:p>
        </w:tc>
        <w:tc>
          <w:tcPr>
            <w:tcW w:w="1625"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Square Footage</w:t>
            </w:r>
          </w:p>
        </w:tc>
        <w:tc>
          <w:tcPr>
            <w:tcW w:w="1263"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Year Built</w:t>
            </w:r>
          </w:p>
        </w:tc>
        <w:tc>
          <w:tcPr>
            <w:tcW w:w="1350"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Exterior</w:t>
            </w:r>
          </w:p>
        </w:tc>
        <w:tc>
          <w:tcPr>
            <w:tcW w:w="1612"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Stories</w:t>
            </w:r>
          </w:p>
        </w:tc>
        <w:tc>
          <w:tcPr>
            <w:tcW w:w="2344"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Assessed Value</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target.baths }}</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target.total_sq_ft }}</w:t>
            </w:r>
          </w:p>
        </w:tc>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target.year_built }}</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target.exterior }}</w:t>
            </w:r>
          </w:p>
        </w:tc>
        <w:tc>
          <w:tcPr>
            <w:tcW w:w="161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target.stories }}</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target.assessed_value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most similar property sold in the target property’s neighborhood during the last 24 months: ({{comp_address}}). This property sold for {{</w:t>
      </w:r>
      <w:r>
        <w:rPr>
          <w:rFonts w:eastAsia="Times New Roman" w:cs="Times New Roman" w:ascii="Times New Roman" w:hAnsi="Times New Roman"/>
          <w:sz w:val="24"/>
          <w:szCs w:val="24"/>
        </w:rPr>
        <w:t>primary_sale_price</w:t>
      </w:r>
      <w:r>
        <w:rPr>
          <w:rFonts w:eastAsia="Times New Roman" w:cs="Times New Roman" w:ascii="Times New Roman" w:hAnsi="Times New Roman"/>
          <w:sz w:val="24"/>
          <w:szCs w:val="24"/>
        </w:rPr>
        <w:t xml:space="preserve">}} on {{ </w:t>
      </w:r>
      <w:r>
        <w:rPr>
          <w:rFonts w:eastAsia="Times New Roman" w:cs="Times New Roman" w:ascii="Times New Roman" w:hAnsi="Times New Roman"/>
          <w:sz w:val="24"/>
          <w:szCs w:val="24"/>
        </w:rPr>
        <w:t xml:space="preserve">primary_sale_date </w:t>
      </w:r>
      <w:r>
        <w:rPr>
          <w:rFonts w:eastAsia="Times New Roman" w:cs="Times New Roman" w:ascii="Times New Roman" w:hAnsi="Times New Roman"/>
          <w:sz w:val="24"/>
          <w:szCs w:val="24"/>
        </w:rPr>
        <w:t xml:space="preserve">}}: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pPr w:bottomFromText="180" w:horzAnchor="text" w:leftFromText="180" w:rightFromText="180" w:tblpX="90" w:tblpY="0" w:topFromText="180" w:vertAnchor="text"/>
        <w:tblW w:w="9270"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1075"/>
        <w:gridCol w:w="1625"/>
        <w:gridCol w:w="1263"/>
        <w:gridCol w:w="1350"/>
        <w:gridCol w:w="1612"/>
        <w:gridCol w:w="2344"/>
      </w:tblGrid>
      <w:tr>
        <w:trPr/>
        <w:tc>
          <w:tcPr>
            <w:tcW w:w="1075"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Baths</w:t>
            </w:r>
          </w:p>
        </w:tc>
        <w:tc>
          <w:tcPr>
            <w:tcW w:w="1625"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Square Footage</w:t>
            </w:r>
          </w:p>
        </w:tc>
        <w:tc>
          <w:tcPr>
            <w:tcW w:w="1263"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Year Built</w:t>
            </w:r>
          </w:p>
        </w:tc>
        <w:tc>
          <w:tcPr>
            <w:tcW w:w="1350"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Exterior</w:t>
            </w:r>
          </w:p>
        </w:tc>
        <w:tc>
          <w:tcPr>
            <w:tcW w:w="1612"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Stories</w:t>
            </w:r>
          </w:p>
        </w:tc>
        <w:tc>
          <w:tcPr>
            <w:tcW w:w="2344"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Assessed Value</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xml:space="preserve">{{ </w:t>
            </w:r>
            <w:r>
              <w:rPr>
                <w:rFonts w:eastAsia="Times New Roman" w:cs="Times New Roman" w:ascii="Times New Roman" w:hAnsi="Times New Roman"/>
                <w:b w:val="false"/>
                <w:bCs w:val="false"/>
              </w:rPr>
              <w:t>primary</w:t>
            </w:r>
            <w:r>
              <w:rPr>
                <w:rFonts w:eastAsia="Times New Roman" w:cs="Times New Roman" w:ascii="Times New Roman" w:hAnsi="Times New Roman"/>
                <w:b w:val="false"/>
                <w:bCs w:val="false"/>
              </w:rPr>
              <w:t>.baths }}</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xml:space="preserve">{{ </w:t>
            </w:r>
            <w:r>
              <w:rPr>
                <w:rFonts w:eastAsia="Times New Roman" w:cs="Times New Roman" w:ascii="Times New Roman" w:hAnsi="Times New Roman"/>
                <w:b w:val="false"/>
                <w:bCs w:val="false"/>
              </w:rPr>
              <w:t>primary</w:t>
            </w:r>
            <w:r>
              <w:rPr>
                <w:rFonts w:eastAsia="Times New Roman" w:cs="Times New Roman" w:ascii="Times New Roman" w:hAnsi="Times New Roman"/>
                <w:b w:val="false"/>
                <w:bCs w:val="false"/>
              </w:rPr>
              <w:t>.total_sq_ft }}</w:t>
            </w:r>
          </w:p>
        </w:tc>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xml:space="preserve">{{ </w:t>
            </w:r>
            <w:r>
              <w:rPr>
                <w:rFonts w:eastAsia="Times New Roman" w:cs="Times New Roman" w:ascii="Times New Roman" w:hAnsi="Times New Roman"/>
                <w:b w:val="false"/>
                <w:bCs w:val="false"/>
              </w:rPr>
              <w:t>primary</w:t>
            </w:r>
            <w:r>
              <w:rPr>
                <w:rFonts w:eastAsia="Times New Roman" w:cs="Times New Roman" w:ascii="Times New Roman" w:hAnsi="Times New Roman"/>
                <w:b w:val="false"/>
                <w:bCs w:val="false"/>
              </w:rPr>
              <w:t>.year_built }}</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xml:space="preserve">{{ </w:t>
            </w:r>
            <w:r>
              <w:rPr>
                <w:rFonts w:eastAsia="Times New Roman" w:cs="Times New Roman" w:ascii="Times New Roman" w:hAnsi="Times New Roman"/>
                <w:b w:val="false"/>
                <w:bCs w:val="false"/>
              </w:rPr>
              <w:t>primary</w:t>
            </w:r>
            <w:r>
              <w:rPr>
                <w:rFonts w:eastAsia="Times New Roman" w:cs="Times New Roman" w:ascii="Times New Roman" w:hAnsi="Times New Roman"/>
                <w:b w:val="false"/>
                <w:bCs w:val="false"/>
              </w:rPr>
              <w:t>.exterior }}</w:t>
            </w:r>
          </w:p>
        </w:tc>
        <w:tc>
          <w:tcPr>
            <w:tcW w:w="161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xml:space="preserve">{{ </w:t>
            </w:r>
            <w:r>
              <w:rPr>
                <w:rFonts w:eastAsia="Times New Roman" w:cs="Times New Roman" w:ascii="Times New Roman" w:hAnsi="Times New Roman"/>
                <w:b w:val="false"/>
                <w:bCs w:val="false"/>
              </w:rPr>
              <w:t>primary</w:t>
            </w:r>
            <w:r>
              <w:rPr>
                <w:rFonts w:eastAsia="Times New Roman" w:cs="Times New Roman" w:ascii="Times New Roman" w:hAnsi="Times New Roman"/>
                <w:b w:val="false"/>
                <w:bCs w:val="false"/>
              </w:rPr>
              <w:t>.stories }}</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xml:space="preserve">{{ </w:t>
            </w:r>
            <w:r>
              <w:rPr>
                <w:rFonts w:eastAsia="Times New Roman" w:cs="Times New Roman" w:ascii="Times New Roman" w:hAnsi="Times New Roman"/>
                <w:b w:val="false"/>
                <w:bCs w:val="false"/>
              </w:rPr>
              <w:t>primary</w:t>
            </w:r>
            <w:r>
              <w:rPr>
                <w:rFonts w:eastAsia="Times New Roman" w:cs="Times New Roman" w:ascii="Times New Roman" w:hAnsi="Times New Roman"/>
                <w:b w:val="false"/>
                <w:bCs w:val="false"/>
              </w:rPr>
              <w:t>.assessed_value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City of Detroit assigned {{ address }} an assessed value of {{ target.assessed_value}}. This means that the Assessment Division calculates that this property has a fair market value of {{ current_faircash }}. Const 1963, art 9, § 3 (requiring that municipalities assess property at no more than 50 percent of their true cash value).</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assessment is inaccurate. The Michigan Constitution requires that properties by assessed at no more than 50% of their market value. Based on the above comparable, the true market value of {{ address }} is {{ contention_faircash }} and the assessed value should be no more than {{ contention_sev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These comparable properties were selected from all the residential property sales marked arms-length by the Detroit Assessment Division between January 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2021 to December 31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2023. All comparable properties have the same exterior type as the subject property. The comparable properties also have approximately the same number of rooms, square feet, and are a similar age as the subject property. In support of the argument that the assessed value of {{ address }} should be reduced, the comparable properties below had an average value of {{ contention_faircash2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themeColor="text1"/>
          <w:sz w:val="24"/>
          <w:szCs w:val="24"/>
        </w:rPr>
        <w:t>To calculate {{ address }}’s market value, the most similar comparable property was selected. The sale price of this property should be the basis for calculating the assessed value of the subject property. 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5"/>
        <w:gridCol w:w="730"/>
        <w:gridCol w:w="800"/>
        <w:gridCol w:w="1174"/>
        <w:gridCol w:w="725"/>
        <w:gridCol w:w="1075"/>
        <w:gridCol w:w="726"/>
        <w:gridCol w:w="987"/>
        <w:gridCol w:w="904"/>
        <w:gridCol w:w="893"/>
      </w:tblGrid>
      <w:tr>
        <w:trPr>
          <w:trHeight w:val="625" w:hRule="atLeast"/>
        </w:trPr>
        <w:tc>
          <w:tcPr>
            <w:tcW w:w="13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9359"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134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item.exterior}}</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r>
      <w:tr>
        <w:trPr>
          <w:trHeight w:val="576" w:hRule="atLeast"/>
        </w:trPr>
        <w:tc>
          <w:tcPr>
            <w:tcW w:w="9359" w:type="dxa"/>
            <w:gridSpan w:val="10"/>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bCs/>
          <w:sz w:val="24"/>
          <w:szCs w:val="24"/>
        </w:rPr>
        <w:t xml:space="preserve">Incorrect Depreciation of {{ </w:t>
      </w:r>
      <w:r>
        <w:rPr>
          <w:rFonts w:eastAsia="Times New Roman" w:cs="Times New Roman" w:ascii="Times New Roman" w:hAnsi="Times New Roman"/>
          <w:sz w:val="24"/>
          <w:szCs w:val="24"/>
        </w:rPr>
        <w:t>address</w:t>
      </w:r>
      <w:r>
        <w:rPr>
          <w:rFonts w:eastAsia="Times New Roman" w:cs="Times New Roman" w:ascii="Times New Roman" w:hAnsi="Times New Roman"/>
          <w:b/>
          <w:bCs/>
          <w:sz w:val="24"/>
          <w:szCs w:val="24"/>
        </w:rPr>
        <w:t xml:space="preserve">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schedule_incorrect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The City of Detroit has incorrectly depreciated {{ address}}. The City’s failure to accurately depreciate the property is based on the depreciation standards outlined in Volume I of the 2014 Assessor’s Manual. {{ address }} has an Actual Age of {{ target.age }} but the City assigned an Effective Age of {{ target.effective_age }}. Therefore, the City claimed that the property was {{ percent_good }}% good for purposes of determining the property’s depreciated cost and True Cash Value. According to the standard 1% value decrease per year, the City should have assigned the property an Effective Age of {{ actual_age }} with a percent good of {{ new_effective_age }}%. The City is only allowed to deviate from the 1% yearly depreciation for “exceptional maintenance, remodeling, replacements and additions,” including exceptionally poor maintenance. The property did not experience any such improvement that would warrant a deviation from the 1% yearly depreciation. As a result, the City incorrectly depreciated and assessed the property. Therefore, we are seeking a reduction of the assessed value of {{ address }}, in accordance with a change in Effective Age to {{ actual_age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endif %}</w:t>
      </w:r>
    </w:p>
    <w:p>
      <w:pPr>
        <w:pStyle w:val="Normal"/>
        <w:spacing w:lineRule="auto" w:line="252" w:before="0" w:after="0"/>
        <w:ind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show_depreciation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City of Detroit has also incorrectly depreciated {{ address }} by determining its Effective Age as {{ effective_age }} with a Corresponding Percent Condition of {{ percent_good }} to determine that the property’s condition rating was “{{ assessor_damage_level }}”. Due to {{ address }}’s condition evidenced in Appendix 1 and 2 below, the City should have rated the condition of the home as “{{ damage_level }},” with a Corresponding Percent Condition of {{ damage_midpoint }}. As a result, the assessed value of {{ address }} was similarly improperly inflated pursuant to the depreciation standards outlined in Volume I of the 2014 Assessor’s Manual. Therefore, we are seeking a reduction of the assessed value of {{ address }}, in accordance with a change in Effective Age to {{ new_effective_age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ind w:left="720" w:hanging="0"/>
        <w:rPr/>
      </w:pPr>
      <w:r>
        <w:rPr/>
        <w:t>{% if economic_obsolescence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The City of Detroit should also reduce the assessed value of {{ address }} because of its economic obsolescence. Due to the description provided in Appendix 1 of the property’s surrounding conditions, the assessed value of {{ address }} should be further reduced as a result of impairment in its utility and/or desirability caused by factors outside the property’s boundaries.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Sincerely,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Property Tax Appeal Project, Coalition for Property Tax Justice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Legal Representative</w:t>
      </w:r>
    </w:p>
    <w:p>
      <w:pPr>
        <w:pStyle w:val="Normal"/>
        <w:rPr/>
      </w:pPr>
      <w:r>
        <w:rPr/>
      </w:r>
      <w:r>
        <w:br w:type="page"/>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if  economic_obsolescence or show_depreciation %}</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damage to {{ address }} is described as the following: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damage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rPr/>
      </w:pPr>
      <w:r>
        <w:rPr/>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 if show_depreciation and has_images %}</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2</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described in Appendix 1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rPr>
          <w:color w:val="000000" w:themeColor="text1"/>
        </w:rPr>
      </w:pPr>
      <w:r>
        <w:rPr>
          <w:color w:val="000000" w:themeColor="text1"/>
        </w:rPr>
        <w:t>{% endif %}</w:t>
      </w:r>
    </w:p>
    <w:p>
      <w:pPr>
        <w:pStyle w:val="Normal"/>
        <w:spacing w:before="0" w:after="1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sectPr>
      <w:headerReference w:type="default" r:id="rId2"/>
      <w:type w:val="nextPage"/>
      <w:pgSz w:w="12240" w:h="15840"/>
      <w:pgMar w:left="1440" w:right="1440" w:gutter="0" w:header="9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center"/>
      <w:rPr>
        <w:color w:val="000000"/>
      </w:rPr>
    </w:pPr>
    <w:r>
      <w:rPr/>
      <w:drawing>
        <wp:inline distT="0" distB="0" distL="0" distR="0">
          <wp:extent cx="1517650" cy="81534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1"/>
                  <a:stretch>
                    <a:fillRect/>
                  </a:stretch>
                </pic:blipFill>
                <pic:spPr bwMode="auto">
                  <a:xfrm>
                    <a:off x="0" y="0"/>
                    <a:ext cx="1517650" cy="815340"/>
                  </a:xfrm>
                  <a:prstGeom prst="rect">
                    <a:avLst/>
                  </a:prstGeom>
                </pic:spPr>
              </pic:pic>
            </a:graphicData>
          </a:graphic>
        </wp:inline>
      </w:drawing>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Application>LibreOffice/7.3.7.2$Linux_X86_64 LibreOffice_project/30$Build-2</Application>
  <AppVersion>15.0000</AppVersion>
  <Pages>5</Pages>
  <Words>1028</Words>
  <Characters>5583</Characters>
  <CharactersWithSpaces>6534</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2024-02-13T20:45:55Z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