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formal_owner }} by [HIS/HER] authorized representative, the Property Tax Appeal Project (“PTAP”) at the Coalition for Property Tax Justice. (See attached: Representation Agreement)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pPr w:bottomFromText="180" w:horzAnchor="text" w:leftFromText="180" w:rightFromText="180" w:tblpX="90" w:tblpY="0" w:topFromText="180" w:vertAnchor="text"/>
        <w:tblW w:w="9270"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1075"/>
        <w:gridCol w:w="1625"/>
        <w:gridCol w:w="1263"/>
        <w:gridCol w:w="1350"/>
        <w:gridCol w:w="1612"/>
        <w:gridCol w:w="2344"/>
      </w:tblGrid>
      <w:tr>
        <w:trPr/>
        <w:tc>
          <w:tcPr>
            <w:tcW w:w="1075"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Baths</w:t>
            </w:r>
          </w:p>
        </w:tc>
        <w:tc>
          <w:tcPr>
            <w:tcW w:w="1625"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Square Footage</w:t>
            </w:r>
          </w:p>
        </w:tc>
        <w:tc>
          <w:tcPr>
            <w:tcW w:w="1263"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Year Built</w:t>
            </w:r>
          </w:p>
        </w:tc>
        <w:tc>
          <w:tcPr>
            <w:tcW w:w="1350"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Exterior</w:t>
            </w:r>
          </w:p>
        </w:tc>
        <w:tc>
          <w:tcPr>
            <w:tcW w:w="1612"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Stories</w:t>
            </w:r>
          </w:p>
        </w:tc>
        <w:tc>
          <w:tcPr>
            <w:tcW w:w="2344"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Assessed Value</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target.baths }}</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target.total_sq_ft }}</w:t>
            </w:r>
          </w:p>
        </w:tc>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target.year_built }}</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target.exterior_</w:t>
            </w:r>
            <w:r>
              <w:rPr>
                <w:rFonts w:eastAsia="Times New Roman" w:cs="Times New Roman" w:ascii="Times New Roman" w:hAnsi="Times New Roman"/>
                <w:b w:val="false"/>
                <w:bCs w:val="false"/>
              </w:rPr>
              <w:t>display</w:t>
            </w:r>
            <w:r>
              <w:rPr>
                <w:rFonts w:eastAsia="Times New Roman" w:cs="Times New Roman" w:ascii="Times New Roman" w:hAnsi="Times New Roman"/>
                <w:b w:val="false"/>
                <w:bCs w:val="false"/>
              </w:rPr>
              <w:t xml:space="preserve"> }}</w:t>
            </w:r>
          </w:p>
        </w:tc>
        <w:tc>
          <w:tcPr>
            <w:tcW w:w="161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target.stories }}</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target.assessed_value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has_comparables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primary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most similar property sold in the target property’s neighborhood during the last 24 months: ({{</w:t>
      </w:r>
      <w:r>
        <w:rPr>
          <w:rFonts w:eastAsia="Times New Roman" w:cs="Times New Roman" w:ascii="Times New Roman" w:hAnsi="Times New Roman"/>
          <w:sz w:val="24"/>
          <w:szCs w:val="24"/>
        </w:rPr>
        <w:t>primary.street_number</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{{primary.street_name}}</w:t>
      </w:r>
      <w:r>
        <w:rPr>
          <w:rFonts w:eastAsia="Times New Roman" w:cs="Times New Roman" w:ascii="Times New Roman" w:hAnsi="Times New Roman"/>
          <w:sz w:val="24"/>
          <w:szCs w:val="24"/>
        </w:rPr>
        <w:t xml:space="preserve">). This property sold for {{primary_sale_price}} on {{ primary_sale_date }}: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pPr w:bottomFromText="180" w:horzAnchor="text" w:leftFromText="180" w:rightFromText="180" w:tblpX="90" w:tblpY="0" w:topFromText="180" w:vertAnchor="text"/>
        <w:tblW w:w="9270"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1075"/>
        <w:gridCol w:w="1625"/>
        <w:gridCol w:w="1263"/>
        <w:gridCol w:w="1350"/>
        <w:gridCol w:w="1612"/>
        <w:gridCol w:w="2344"/>
      </w:tblGrid>
      <w:tr>
        <w:trPr/>
        <w:tc>
          <w:tcPr>
            <w:tcW w:w="1075"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Baths</w:t>
            </w:r>
          </w:p>
        </w:tc>
        <w:tc>
          <w:tcPr>
            <w:tcW w:w="1625"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Square Footage</w:t>
            </w:r>
          </w:p>
        </w:tc>
        <w:tc>
          <w:tcPr>
            <w:tcW w:w="1263"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Year Built</w:t>
            </w:r>
          </w:p>
        </w:tc>
        <w:tc>
          <w:tcPr>
            <w:tcW w:w="1350"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Exterior</w:t>
            </w:r>
          </w:p>
        </w:tc>
        <w:tc>
          <w:tcPr>
            <w:tcW w:w="1612"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Stories</w:t>
            </w:r>
          </w:p>
        </w:tc>
        <w:tc>
          <w:tcPr>
            <w:tcW w:w="2344"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Assessed Value</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primary.baths }}</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primary.total_sq_ft }}</w:t>
            </w:r>
          </w:p>
        </w:tc>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primary.year_built }}</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primary.exterior_</w:t>
            </w:r>
            <w:r>
              <w:rPr>
                <w:rFonts w:eastAsia="Times New Roman" w:cs="Times New Roman" w:ascii="Times New Roman" w:hAnsi="Times New Roman"/>
                <w:b w:val="false"/>
                <w:bCs w:val="false"/>
              </w:rPr>
              <w:t>display</w:t>
            </w:r>
            <w:r>
              <w:rPr>
                <w:rFonts w:eastAsia="Times New Roman" w:cs="Times New Roman" w:ascii="Times New Roman" w:hAnsi="Times New Roman"/>
                <w:b w:val="false"/>
                <w:bCs w:val="false"/>
              </w:rPr>
              <w:t xml:space="preserve"> }}</w:t>
            </w:r>
          </w:p>
        </w:tc>
        <w:tc>
          <w:tcPr>
            <w:tcW w:w="161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primary.stories }}</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primary.assessed_value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City of Detroit assigned {{ address }} an assessed value of {{ target.assessed_value}}. This means that the Assessment Division calculates that this property has a fair market value of {{ current_faircash }}. Const 1963, art 9, § 3 (requiring that municipalities assess property at no more than 50 percent of their true cash value).</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assessment is inaccurate. The Michigan Constitution requires that properties by assessed at no more than 50% of their market value. Based on the above comparable, the true market value of {{ address }} is {{ contention_faircash }} and the assessed value should be no more than {{ contention_sev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These comparable properties were selected from all the residential property sales marked arms-length by the Detroit Assessment Division between January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2021 to December 31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xml:space="preserve">, 2023. All comparable properties have the same exterior type as the subject property. The comparable properties also have approximately the same number of rooms, square feet, and are a similar age as the subject property. In support of the argument that the assessed value of {{ address }} should be reduced, the comparable properties below had an average </w:t>
      </w:r>
      <w:r>
        <w:rPr>
          <w:rFonts w:eastAsia="Times New Roman" w:cs="Times New Roman" w:ascii="Times New Roman" w:hAnsi="Times New Roman"/>
          <w:sz w:val="24"/>
          <w:szCs w:val="24"/>
        </w:rPr>
        <w:t xml:space="preserve">fair market </w:t>
      </w:r>
      <w:r>
        <w:rPr>
          <w:rFonts w:eastAsia="Times New Roman" w:cs="Times New Roman" w:ascii="Times New Roman" w:hAnsi="Times New Roman"/>
          <w:sz w:val="24"/>
          <w:szCs w:val="24"/>
        </w:rPr>
        <w:t>value of {{ contention_faircash2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themeColor="text1"/>
          <w:sz w:val="24"/>
          <w:szCs w:val="24"/>
        </w:rPr>
        <w:t>To calculate {{ address }}’s market value, the most similar comparable property was selected. The sale price of this property should be the basis for calculating the assessed value of the subject property. 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4"/>
        <w:gridCol w:w="731"/>
        <w:gridCol w:w="800"/>
        <w:gridCol w:w="1174"/>
        <w:gridCol w:w="725"/>
        <w:gridCol w:w="1075"/>
        <w:gridCol w:w="726"/>
        <w:gridCol w:w="987"/>
        <w:gridCol w:w="904"/>
        <w:gridCol w:w="893"/>
      </w:tblGrid>
      <w:tr>
        <w:trPr>
          <w:trHeight w:val="625" w:hRule="atLeast"/>
        </w:trPr>
        <w:tc>
          <w:tcPr>
            <w:tcW w:w="134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3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item.exterior_</w:t>
            </w:r>
            <w:r>
              <w:rPr>
                <w:rFonts w:cs="Times New Roman" w:ascii="Times New Roman" w:hAnsi="Times New Roman"/>
                <w:sz w:val="20"/>
                <w:szCs w:val="20"/>
              </w:rPr>
              <w:t>display</w:t>
            </w:r>
            <w:r>
              <w:rPr>
                <w:rFonts w:cs="Times New Roman" w:ascii="Times New Roman" w:hAnsi="Times New Roman"/>
                <w:sz w:val="20"/>
                <w:szCs w:val="20"/>
              </w:rPr>
              <w:t>}}</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schedule_incorrect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The City of Detroit has incorrectly depreciated {{ address}}. The City’s failure to accurately depreciate the property is based on the depreciation standards outlined in Volume I of the 2014 Assessor’s Manual. {{ address }} has an Actual Age of {{ target.age }} but the City assigned an Effective Age of {{ target.effective_age }}. Therefore, the City claimed that the property was {{ percent_good }}% good for purposes of determining the property’s depreciated cost and True Cash Value. According to the standard 1% value decrease per year, the City should have assigned the property an Effective Age of {{ </w:t>
      </w:r>
      <w:r>
        <w:rPr>
          <w:rFonts w:eastAsia="Times New Roman" w:cs="Times New Roman" w:ascii="Times New Roman" w:hAnsi="Times New Roman"/>
          <w:b w:val="false"/>
          <w:bCs w:val="false"/>
          <w:sz w:val="24"/>
          <w:szCs w:val="24"/>
        </w:rPr>
        <w:t>capped</w:t>
      </w:r>
      <w:r>
        <w:rPr>
          <w:rFonts w:eastAsia="Times New Roman" w:cs="Times New Roman" w:ascii="Times New Roman" w:hAnsi="Times New Roman"/>
          <w:b w:val="false"/>
          <w:bCs w:val="false"/>
          <w:sz w:val="24"/>
          <w:szCs w:val="24"/>
        </w:rPr>
        <w:t xml:space="preserve">_age }} with a percent good of {{ </w:t>
      </w:r>
      <w:r>
        <w:rPr>
          <w:rFonts w:eastAsia="Times New Roman" w:cs="Times New Roman" w:ascii="Times New Roman" w:hAnsi="Times New Roman"/>
          <w:b w:val="false"/>
          <w:bCs w:val="false"/>
          <w:sz w:val="24"/>
          <w:szCs w:val="24"/>
        </w:rPr>
        <w:t>capped_percent_good</w:t>
      </w:r>
      <w:r>
        <w:rPr>
          <w:rFonts w:eastAsia="Times New Roman" w:cs="Times New Roman" w:ascii="Times New Roman" w:hAnsi="Times New Roman"/>
          <w:b w:val="false"/>
          <w:bCs w:val="false"/>
          <w:sz w:val="24"/>
          <w:szCs w:val="24"/>
        </w:rPr>
        <w:t xml:space="preserve"> }}%. The City is only allowed to deviate from the 1% yearly depreciation for “exceptional maintenance, remodeling, replacements and additions,” including exceptionally poor maintenance. The property did not experience any such improvement that would warrant a deviation from the 1% yearly depreciation. As a result, the City incorrectly depreciated and assessed the property. Therefore, we are seeking a reduction of the assessed value of {{ address }}, in accordance with a change in Effective Age to {{ </w:t>
      </w:r>
      <w:r>
        <w:rPr>
          <w:rFonts w:eastAsia="Times New Roman" w:cs="Times New Roman" w:ascii="Times New Roman" w:hAnsi="Times New Roman"/>
          <w:b w:val="false"/>
          <w:bCs w:val="false"/>
          <w:sz w:val="24"/>
          <w:szCs w:val="24"/>
        </w:rPr>
        <w:t>capped</w:t>
      </w:r>
      <w:r>
        <w:rPr>
          <w:rFonts w:eastAsia="Times New Roman" w:cs="Times New Roman" w:ascii="Times New Roman" w:hAnsi="Times New Roman"/>
          <w:b w:val="false"/>
          <w:bCs w:val="false"/>
          <w:sz w:val="24"/>
          <w:szCs w:val="24"/>
        </w:rPr>
        <w:t>_age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endif %}</w:t>
      </w:r>
    </w:p>
    <w:p>
      <w:pPr>
        <w:pStyle w:val="Normal"/>
        <w:spacing w:lineRule="auto" w:line="252" w:before="0" w:after="0"/>
        <w:ind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show_depreciation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City of Detroit has also incorrectly depreciated {{ address }} by determining its Effective Age as {{ effective_age }} with a Corresponding Percent Condition of {{ percent_good }} to determine that the property’s condition rating was “{{ assessor_damage_level }}”. Due to {{ address }}’s condition evidenced in Appendix 1 and 2 below, the City should have rated the condition of the home as “{{ damage_level }},” with a Corresponding Percent Condition of {{ damage_midpoint }}. As a result, the assessed value of {{ address }} was similarly improperly inflated pursuant to the depreciation standards outlined in Volume I of the 2014 Assessor’s Manual. Therefore, we are seeking a reduction of the assessed value of {{ address }}, in accordance with a change in Effective Age to {{ new_effective_age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ind w:left="720" w:hanging="0"/>
        <w:rPr/>
      </w:pPr>
      <w:r>
        <w:rPr/>
        <w:t>{% if economic_obsolescence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The City of Detroit should also reduce the assessed value of {{ address }} because of its economic obsolescence. Due to the description provided in Appendix 1 of the property’s surrounding conditions, the assessed value of {{ address }} should be further reduced as a result of impairment in its utility and/or desirability caused by factors outside the property’s boundaries.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Sincerely,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Property Tax Appeal Project, Coalition for Property Tax Justice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Legal Representative</w:t>
      </w:r>
    </w:p>
    <w:p>
      <w:pPr>
        <w:pStyle w:val="Normal"/>
        <w:rPr/>
      </w:pPr>
      <w:r>
        <w:rPr/>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if  economic_obsolescence or show_depreciation %}</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damage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rPr/>
      </w:pPr>
      <w:r>
        <w:rPr/>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 if show_depreciation and has_images %}</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described in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rPr>
          <w:color w:val="000000" w:themeColor="text1"/>
        </w:rPr>
      </w:pPr>
      <w:r>
        <w:rPr>
          <w:color w:val="000000" w:themeColor="text1"/>
        </w:rPr>
        <w:t>{% endif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2"/>
      <w:type w:val="nextPage"/>
      <w:pgSz w:w="12240" w:h="15840"/>
      <w:pgMar w:left="1440" w:right="1440" w:gutter="0" w:header="9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center"/>
      <w:rPr>
        <w:color w:val="000000"/>
      </w:rPr>
    </w:pPr>
    <w:r>
      <w:rPr/>
      <w:drawing>
        <wp:inline distT="0" distB="0" distL="0" distR="0">
          <wp:extent cx="1517650" cy="81534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1"/>
                  <a:stretch>
                    <a:fillRect/>
                  </a:stretch>
                </pic:blipFill>
                <pic:spPr bwMode="auto">
                  <a:xfrm>
                    <a:off x="0" y="0"/>
                    <a:ext cx="1517650" cy="815340"/>
                  </a:xfrm>
                  <a:prstGeom prst="rect">
                    <a:avLst/>
                  </a:prstGeom>
                </pic:spPr>
              </pic:pic>
            </a:graphicData>
          </a:graphic>
        </wp:inline>
      </w:drawing>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Application>LibreOffice/7.3.7.2$Linux_X86_64 LibreOffice_project/30$Build-2</Application>
  <AppVersion>15.0000</AppVersion>
  <Pages>5</Pages>
  <Words>1045</Words>
  <Characters>5701</Characters>
  <CharactersWithSpaces>6665</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2024-02-15T18:26:20Z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