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0" distT="0" distB="635" distL="0" distR="0" simplePos="0" locked="0" layoutInCell="0" allowOverlap="1" relativeHeight="2">
                <wp:simplePos x="0" y="0"/>
                <wp:positionH relativeFrom="column">
                  <wp:posOffset>-971550</wp:posOffset>
                </wp:positionH>
                <wp:positionV relativeFrom="paragraph">
                  <wp:posOffset>-697230</wp:posOffset>
                </wp:positionV>
                <wp:extent cx="7828915" cy="1166495"/>
                <wp:effectExtent l="0" t="0" r="0" b="0"/>
                <wp:wrapSquare wrapText="bothSides"/>
                <wp:docPr id="1" name="Shape 5"/>
                <a:graphic xmlns:a="http://schemas.openxmlformats.org/drawingml/2006/main">
                  <a:graphicData uri="http://schemas.microsoft.com/office/word/2010/wordprocessingGroup">
                    <wpg:wgp>
                      <wpg:cNvGrpSpPr/>
                      <wpg:grpSpPr>
                        <a:xfrm>
                          <a:off x="0" y="0"/>
                          <a:ext cx="7828920" cy="1166400"/>
                          <a:chOff x="0" y="0"/>
                          <a:chExt cx="7828920" cy="1166400"/>
                        </a:xfrm>
                      </wpg:grpSpPr>
                      <wps:wsp>
                        <wps:cNvSpPr/>
                        <wps:spPr>
                          <a:xfrm>
                            <a:off x="0" y="0"/>
                            <a:ext cx="7828920" cy="1166400"/>
                          </a:xfrm>
                          <a:prstGeom prst="rect">
                            <a:avLst/>
                          </a:prstGeom>
                          <a:gradFill rotWithShape="0">
                            <a:gsLst>
                              <a:gs pos="0">
                                <a:srgbClr val="fff6db"/>
                              </a:gs>
                              <a:gs pos="12000">
                                <a:srgbClr val="feedbc"/>
                              </a:gs>
                              <a:gs pos="20000">
                                <a:srgbClr val="fee9ac"/>
                              </a:gs>
                              <a:gs pos="28000">
                                <a:srgbClr val="fee7a4"/>
                              </a:gs>
                              <a:gs pos="39000">
                                <a:srgbClr val="fde49c"/>
                              </a:gs>
                              <a:gs pos="100000">
                                <a:srgbClr val="fad25c"/>
                              </a:gs>
                            </a:gsLst>
                            <a:lin ang="5400000"/>
                          </a:gradFill>
                          <a:ln w="0">
                            <a:noFill/>
                          </a:ln>
                        </wps:spPr>
                        <wps:style>
                          <a:lnRef idx="0"/>
                          <a:fillRef idx="0"/>
                          <a:effectRef idx="0"/>
                          <a:fontRef idx="minor"/>
                        </wps:style>
                        <wps:bodyPr/>
                      </wps:wsp>
                      <pic:pic xmlns:pic="http://schemas.openxmlformats.org/drawingml/2006/picture">
                        <pic:nvPicPr>
                          <pic:cNvPr id="0" name="Shape 7" descr=""/>
                          <pic:cNvPicPr/>
                        </pic:nvPicPr>
                        <pic:blipFill>
                          <a:blip r:embed="rId2"/>
                          <a:srcRect l="0" t="16554" r="0" b="23685"/>
                          <a:stretch/>
                        </pic:blipFill>
                        <pic:spPr>
                          <a:xfrm>
                            <a:off x="1972800" y="62280"/>
                            <a:ext cx="3882960" cy="1042200"/>
                          </a:xfrm>
                          <a:prstGeom prst="rect">
                            <a:avLst/>
                          </a:prstGeom>
                          <a:ln w="0">
                            <a:noFill/>
                          </a:ln>
                        </pic:spPr>
                      </pic:pic>
                    </wpg:wgp>
                  </a:graphicData>
                </a:graphic>
              </wp:anchor>
            </w:drawing>
          </mc:Choice>
          <mc:Fallback>
            <w:pict>
              <v:group id="shape_0" alt="Shape 5" style="position:absolute;margin-left:-76.5pt;margin-top:-54.9pt;width:616.45pt;height:91.85pt" coordorigin="-1530,-1098" coordsize="12329,1837">
                <v:rect id="shape_0" path="m0,0l-2147483645,0l-2147483645,-2147483646l0,-2147483646xe" fillcolor="#fad25c" stroked="f" o:allowincell="f" style="position:absolute;left:-1530;top:-1098;width:12328;height:1836;mso-wrap-style:none;v-text-anchor:middle">
                  <v:fill o:detectmouseclick="t" color2="#fde49c"/>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7" stroked="f" o:allowincell="f" style="position:absolute;left:1577;top:-1000;width:6114;height:1640;mso-wrap-style:none;v-text-anchor:middle" type="_x0000_t75">
                  <v:imagedata r:id="rId2" o:detectmouseclick="t"/>
                  <v:stroke color="#3465a4" joinstyle="round" endcap="flat"/>
                  <w10:wrap type="square"/>
                </v:shape>
              </v:group>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Institute for Law and Organizing.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Summary of the Argument</w:t>
      </w:r>
    </w:p>
    <w:p>
      <w:pPr>
        <w:pStyle w:val="Normal"/>
        <w:spacing w:before="0" w:after="0"/>
        <w:ind w:hanging="0"/>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r>
    </w:p>
    <w:p>
      <w:pPr>
        <w:pStyle w:val="Normal"/>
        <w:numPr>
          <w:ilvl w:val="0"/>
          <w:numId w:val="1"/>
        </w:numPr>
        <w:tabs>
          <w:tab w:val="clear" w:pos="720"/>
          <w:tab w:val="left" w:pos="0" w:leader="none"/>
        </w:tabs>
        <w:bidi w:val="0"/>
        <w:spacing w:lineRule="auto" w:line="307" w:before="0" w:after="0"/>
        <w:ind w:left="1429" w:hanging="283"/>
        <w:jc w:val="both"/>
        <w:rPr>
          <w:rFonts w:ascii="Times New Roman" w:hAnsi="Times New Roman" w:eastAsia="Times New Roman" w:cs="Times New Roman"/>
          <w:sz w:val="24"/>
          <w:szCs w:val="24"/>
        </w:rPr>
      </w:pPr>
      <w:bookmarkStart w:id="0" w:name="docs-internal-guid-fede189d-7fff-af85-e5"/>
      <w:bookmarkEnd w:id="0"/>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Current assessed value: </w:t>
      </w:r>
      <w:r>
        <w:rPr>
          <w:rFonts w:eastAsia="Times New Roman" w:cs="Times New Roman" w:ascii="Times New Roman" w:hAnsi="Times New Roman"/>
          <w:b w:val="false"/>
          <w:bCs/>
          <w:i w:val="false"/>
          <w:caps w:val="false"/>
          <w:smallCaps w:val="false"/>
          <w:strike w:val="false"/>
          <w:dstrike w:val="false"/>
          <w:color w:val="000000"/>
          <w:sz w:val="24"/>
          <w:szCs w:val="24"/>
          <w:u w:val="none"/>
          <w:effect w:val="none"/>
          <w:shd w:fill="auto" w:val="clear"/>
        </w:rPr>
        <w:t>{{ target.assessed_value}}</w:t>
      </w:r>
    </w:p>
    <w:p>
      <w:pPr>
        <w:pStyle w:val="TextBody"/>
        <w:numPr>
          <w:ilvl w:val="0"/>
          <w:numId w:val="15"/>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eastAsia="Times New Roman" w:cs="Times New Roman" w:ascii="Times New Roman" w:hAnsi="Times New Roman"/>
          <w:b w:val="false"/>
          <w:bCs/>
          <w:i w:val="false"/>
          <w:caps w:val="false"/>
          <w:smallCaps w:val="false"/>
          <w:strike w:val="false"/>
          <w:dstrike w:val="false"/>
          <w:color w:val="000000"/>
          <w:sz w:val="24"/>
          <w:szCs w:val="24"/>
          <w:u w:val="none"/>
          <w:effect w:val="none"/>
          <w:shd w:fill="auto" w:val="clear"/>
        </w:rPr>
        <w:t>{%p if has_primary %}</w:t>
      </w:r>
    </w:p>
    <w:p>
      <w:pPr>
        <w:pStyle w:val="TextBody"/>
        <w:numPr>
          <w:ilvl w:val="0"/>
          <w:numId w:val="16"/>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Comparable sales: </w:t>
      </w:r>
      <w:r>
        <w:rPr>
          <w:rFonts w:ascii="Times New Roman;serif" w:hAnsi="Times New Roman;serif"/>
          <w:b/>
          <w:bCs/>
          <w:i w:val="false"/>
          <w:caps w:val="false"/>
          <w:smallCaps w:val="false"/>
          <w:strike w:val="false"/>
          <w:dstrike w:val="false"/>
          <w:color w:val="000000"/>
          <w:sz w:val="24"/>
          <w:u w:val="none"/>
          <w:effect w:val="none"/>
          <w:shd w:fill="auto" w:val="clear"/>
        </w:rPr>
        <w:t>The assessed value should be no more than {{ contention_sev }}</w:t>
      </w:r>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 based on the most similar recent sale of a comparable property: {{ primary.street_number }} {{ primary.street_name }}.</w:t>
      </w:r>
    </w:p>
    <w:p>
      <w:pPr>
        <w:pStyle w:val="TextBody"/>
        <w:numPr>
          <w:ilvl w:val="0"/>
          <w:numId w:val="17"/>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ascii="Times New Roman;serif" w:hAnsi="Times New Roman;serif"/>
          <w:b w:val="false"/>
          <w:bCs/>
          <w:i w:val="false"/>
          <w:caps w:val="false"/>
          <w:smallCaps w:val="false"/>
          <w:strike w:val="false"/>
          <w:dstrike w:val="false"/>
          <w:color w:val="000000"/>
          <w:sz w:val="24"/>
          <w:u w:val="none"/>
          <w:effect w:val="none"/>
          <w:shd w:fill="auto" w:val="clear"/>
        </w:rPr>
        <w:t>{%p endif %}</w:t>
      </w:r>
    </w:p>
    <w:p>
      <w:pPr>
        <w:pStyle w:val="TextBody"/>
        <w:numPr>
          <w:ilvl w:val="0"/>
          <w:numId w:val="18"/>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bCs/>
          <w:i w:val="false"/>
          <w:caps w:val="false"/>
          <w:smallCaps w:val="false"/>
          <w:strike w:val="false"/>
          <w:dstrike w:val="false"/>
          <w:color w:val="000000"/>
          <w:sz w:val="24"/>
          <w:u w:val="none"/>
          <w:effect w:val="none"/>
          <w:shd w:fill="auto" w:val="clear"/>
        </w:rPr>
        <w:t>{%p if schedule_incorrect %}</w:t>
      </w:r>
    </w:p>
    <w:p>
      <w:pPr>
        <w:pStyle w:val="TextBody"/>
        <w:numPr>
          <w:ilvl w:val="0"/>
          <w:numId w:val="19"/>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Yearly depreciation: The assessed value of {{ address }} should be further reduced under the 1% yearly depreciation guideline in accordance with a correct </w:t>
      </w:r>
      <w:r>
        <w:rPr>
          <w:rFonts w:ascii="Times New Roman;serif" w:hAnsi="Times New Roman;serif"/>
          <w:b/>
          <w:i w:val="false"/>
          <w:caps w:val="false"/>
          <w:smallCaps w:val="false"/>
          <w:strike w:val="false"/>
          <w:dstrike w:val="false"/>
          <w:color w:val="000000"/>
          <w:sz w:val="24"/>
          <w:u w:val="none"/>
          <w:effect w:val="none"/>
          <w:shd w:fill="auto" w:val="clear"/>
        </w:rPr>
        <w:t>Effective Age of {{ capped_age }}</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numPr>
          <w:ilvl w:val="0"/>
          <w:numId w:val="20"/>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shd w:fill="auto" w:val="clear"/>
        </w:rPr>
        <w:t>{%p endif %}</w:t>
      </w:r>
    </w:p>
    <w:p>
      <w:pPr>
        <w:pStyle w:val="TextBody"/>
        <w:numPr>
          <w:ilvl w:val="0"/>
          <w:numId w:val="21"/>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if show_depreciation %}</w:t>
      </w:r>
    </w:p>
    <w:p>
      <w:pPr>
        <w:pStyle w:val="TextBody"/>
        <w:numPr>
          <w:ilvl w:val="0"/>
          <w:numId w:val="22"/>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Condition of the home: If the City of Detroit deviates from the 1% yearly depreciation guideline, the assessed value of {{ address }} should be reduced in accordance with a change in </w:t>
      </w:r>
      <w:r>
        <w:rPr>
          <w:rFonts w:ascii="Times New Roman;serif" w:hAnsi="Times New Roman;serif"/>
          <w:b/>
          <w:i w:val="false"/>
          <w:caps w:val="false"/>
          <w:smallCaps w:val="false"/>
          <w:strike w:val="false"/>
          <w:dstrike w:val="false"/>
          <w:color w:val="000000"/>
          <w:sz w:val="24"/>
          <w:u w:val="none"/>
          <w:effect w:val="none"/>
          <w:shd w:fill="auto" w:val="clear"/>
        </w:rPr>
        <w:t>Effective Age to {{ new_effective_age }}</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numPr>
          <w:ilvl w:val="0"/>
          <w:numId w:val="23"/>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endif %}</w:t>
      </w:r>
    </w:p>
    <w:p>
      <w:pPr>
        <w:pStyle w:val="TextBody"/>
        <w:numPr>
          <w:ilvl w:val="0"/>
          <w:numId w:val="24"/>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if economic_obsolescence %}</w:t>
      </w:r>
    </w:p>
    <w:p>
      <w:pPr>
        <w:pStyle w:val="TextBody"/>
        <w:numPr>
          <w:ilvl w:val="0"/>
          <w:numId w:val="25"/>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Economic obsolescence: The assessed value of {{ address }} should be </w:t>
      </w:r>
      <w:r>
        <w:rPr>
          <w:rFonts w:ascii="Times New Roman;serif" w:hAnsi="Times New Roman;serif"/>
          <w:b/>
          <w:i w:val="false"/>
          <w:caps w:val="false"/>
          <w:smallCaps w:val="false"/>
          <w:strike w:val="false"/>
          <w:dstrike w:val="false"/>
          <w:color w:val="000000"/>
          <w:sz w:val="24"/>
          <w:u w:val="none"/>
          <w:effect w:val="none"/>
          <w:shd w:fill="auto" w:val="clear"/>
        </w:rPr>
        <w:t>further reduced</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as a result of impairment in its utility and/or desirability caused by factors outside the property’s boundaries.</w:t>
      </w:r>
    </w:p>
    <w:p>
      <w:pPr>
        <w:pStyle w:val="TextBody"/>
        <w:numPr>
          <w:ilvl w:val="0"/>
          <w:numId w:val="26"/>
        </w:numPr>
        <w:tabs>
          <w:tab w:val="clear" w:pos="720"/>
          <w:tab w:val="left" w:pos="0" w:leader="none"/>
        </w:tabs>
        <w:bidi w:val="0"/>
        <w:spacing w:lineRule="auto" w:line="307" w:before="0" w:after="0"/>
        <w:ind w:left="1429" w:right="0" w:hanging="283"/>
        <w:rPr/>
      </w:pPr>
      <w:r>
        <w:rPr>
          <w:rFonts w:eastAsia="Times New Roman" w:cs="Times New Roman" w:ascii="Times New Roman" w:hAnsi="Times New Roman"/>
          <w:sz w:val="24"/>
          <w:szCs w:val="24"/>
        </w:rPr>
        <w:t>{%p endif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the most similar property sold in the target property’s neighborhood during the last 24 months: ({{primary.street_number}} {{primary.street_name}}).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{{primary.street_number}} {{primary.street_name}}</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be assessed at no more than 50% of their market value. Based on the above comparable, the true market value of {{ address }} is {{ contention_faircash }} and the assessed value should be no more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 if has_comparables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April 1, 2021 to March 31,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if the City of Detroit deviates from the 1% yearly depreciation guideline,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r>
        <w:rPr/>
        <w:t>{% if economic_obsolescence %}</w:t>
      </w:r>
    </w:p>
    <w:p>
      <w:pPr>
        <w:pStyle w:val="Normal"/>
        <w:ind w:left="720" w:hanging="0"/>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drawing>
          <wp:anchor behindDoc="0" distT="0" distB="0" distL="0" distR="0" simplePos="0" locked="0" layoutInCell="0" allowOverlap="1" relativeHeight="3">
            <wp:simplePos x="0" y="0"/>
            <wp:positionH relativeFrom="column">
              <wp:posOffset>-390525</wp:posOffset>
            </wp:positionH>
            <wp:positionV relativeFrom="paragraph">
              <wp:posOffset>116840</wp:posOffset>
            </wp:positionV>
            <wp:extent cx="3290570" cy="9906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290570" cy="990600"/>
                    </a:xfrm>
                    <a:prstGeom prst="rect">
                      <a:avLst/>
                    </a:prstGeom>
                  </pic:spPr>
                </pic:pic>
              </a:graphicData>
            </a:graphic>
          </wp:anchor>
        </w:drawing>
      </w: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LOnormal"/>
        <w:spacing w:lineRule="auto" w:line="25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Institute for Law and Organizing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Executive Director</w:t>
      </w:r>
    </w:p>
    <w:p>
      <w:pPr>
        <w:pStyle w:val="Normal"/>
        <w:spacing w:before="0" w:after="0"/>
        <w:rPr>
          <w:rFonts w:ascii="Times New Roman" w:hAnsi="Times New Roman" w:eastAsia="Times New Roman" w:cs="Times New Roman"/>
          <w:sz w:val="24"/>
          <w:szCs w:val="24"/>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b/>
          <w:bCs/>
          <w:color w:val="000000" w:themeColor="text1"/>
          <w:sz w:val="24"/>
          <w:szCs w:val="24"/>
        </w:rPr>
        <w:t>{% if show_depreciation and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
    </w:p>
    <w:sectPr>
      <w:headerReference w:type="default" r:id="rId4"/>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imes New Roman">
    <w:altName w:val="serif"/>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LibreOffice/7.3.7.2$Linux_X86_64 LibreOffice_project/30$Build-2</Application>
  <AppVersion>15.0000</AppVersion>
  <Pages>7</Pages>
  <Words>1236</Words>
  <Characters>6755</Characters>
  <CharactersWithSpaces>7878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2025-02-12T20:18:18Z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