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NOTES:</w:t>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028"/>
        <w:gridCol w:w="1593"/>
        <w:gridCol w:w="2739"/>
      </w:tblGrid>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 xml:space="preserve">{%tr for item in </w:t>
            </w:r>
            <w:r>
              <w:rPr>
                <w:rFonts w:cs="Times New Roman" w:ascii="Times New Roman" w:hAnsi="Times New Roman"/>
                <w:sz w:val="24"/>
                <w:szCs w:val="24"/>
              </w:rPr>
              <w:t xml:space="preserve">allinfo </w:t>
            </w:r>
            <w:r>
              <w:rPr>
                <w:rFonts w:eastAsia="Times New Roman" w:cs="Times New Roman" w:ascii="Times New Roman" w:hAnsi="Times New Roman"/>
                <w:iCs/>
                <w:sz w:val="24"/>
                <w:szCs w:val="24"/>
              </w:rPr>
              <w:t>%}</w:t>
            </w:r>
          </w:p>
        </w:tc>
      </w:tr>
      <w:tr>
        <w:trPr>
          <w:trHeight w:val="576" w:hRule="atLeast"/>
        </w:trPr>
        <w:tc>
          <w:tcPr>
            <w:tcW w:w="50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5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27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t>PROPERTY INFO:</w:t>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028"/>
        <w:gridCol w:w="1593"/>
        <w:gridCol w:w="2739"/>
      </w:tblGrid>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prop</w:t>
            </w:r>
            <w:r>
              <w:rPr>
                <w:rFonts w:cs="Times New Roman" w:ascii="Times New Roman" w:hAnsi="Times New Roman"/>
                <w:sz w:val="24"/>
                <w:szCs w:val="24"/>
              </w:rPr>
              <w:t xml:space="preserve">info </w:t>
            </w:r>
            <w:r>
              <w:rPr>
                <w:rFonts w:eastAsia="Times New Roman" w:cs="Times New Roman" w:ascii="Times New Roman" w:hAnsi="Times New Roman"/>
                <w:iCs/>
                <w:sz w:val="24"/>
                <w:szCs w:val="24"/>
              </w:rPr>
              <w:t>%}</w:t>
            </w:r>
          </w:p>
        </w:tc>
      </w:tr>
      <w:tr>
        <w:trPr>
          <w:trHeight w:val="576" w:hRule="atLeast"/>
        </w:trPr>
        <w:tc>
          <w:tcPr>
            <w:tcW w:w="50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5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27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 formal_owner }}’s Notice of Assessment, {{ pin }} has an assessed value of {{ current_sev }}. This means that the Assessment Division calculates that {{ pin }}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xml:space="preserve">. Const 1963, art 9, § 3 (requiring that municipalities assess property at no more than 50 percent of their true cash value).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assessment is inaccurate. Given the sales price of comparable properties, {{ formal_owner }}’s property has a market value of </w:t>
      </w:r>
      <w:r>
        <w:rPr>
          <w:rFonts w:cs="Times New Roman" w:ascii="Times New Roman" w:hAnsi="Times New Roman"/>
          <w:sz w:val="24"/>
          <w:szCs w:val="24"/>
        </w:rPr>
        <w:t xml:space="preserve">{{ contention_faircash }} </w:t>
      </w:r>
      <w:r>
        <w:rPr>
          <w:rFonts w:eastAsia="Times New Roman" w:cs="Times New Roman" w:ascii="Times New Roman" w:hAnsi="Times New Roman"/>
          <w:sz w:val="24"/>
          <w:szCs w:val="24"/>
        </w:rPr>
        <w:t xml:space="preserve">and the assessed value should be no more than </w:t>
      </w:r>
      <w:r>
        <w:rPr>
          <w:rFonts w:cs="Times New Roman" w:ascii="Times New Roman" w:hAnsi="Times New Roman"/>
          <w:sz w:val="24"/>
          <w:szCs w:val="24"/>
        </w:rPr>
        <w:t>{{ contention_sev }}</w:t>
      </w:r>
      <w:r>
        <w:rPr>
          <w:rFonts w:eastAsia="Times New Roman" w:cs="Times New Roman" w:ascii="Times New Roman" w:hAnsi="Times New Roman"/>
          <w:sz w:val="24"/>
          <w:szCs w:val="24"/>
        </w:rPr>
        <w: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146"/>
        <w:gridCol w:w="1404"/>
        <w:gridCol w:w="2810"/>
      </w:tblGrid>
      <w:tr>
        <w:trPr>
          <w:trHeight w:val="1152" w:hRule="atLeast"/>
        </w:trPr>
        <w:tc>
          <w:tcPr>
            <w:tcW w:w="51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for col in comp_labels %}</w:t>
            </w:r>
          </w:p>
        </w:tc>
        <w:tc>
          <w:tcPr>
            <w:tcW w:w="14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col }}</w:t>
            </w:r>
          </w:p>
        </w:tc>
        <w:tc>
          <w:tcPr>
            <w:tcW w:w="281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for item in comp_contents %}</w:t>
            </w:r>
          </w:p>
        </w:tc>
      </w:tr>
      <w:tr>
        <w:trPr>
          <w:trHeight w:val="576" w:hRule="atLeast"/>
        </w:trPr>
        <w:tc>
          <w:tcPr>
            <w:tcW w:w="51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0"/>
                <w:szCs w:val="20"/>
              </w:rPr>
            </w:pPr>
            <w:r>
              <w:rPr>
                <w:rFonts w:cs="Times New Roman" w:ascii="Times New Roman" w:hAnsi="Times New Roman"/>
                <w:sz w:val="20"/>
                <w:szCs w:val="20"/>
              </w:rPr>
              <w:t>{%tc for col in item %}</w:t>
            </w:r>
          </w:p>
        </w:tc>
        <w:tc>
          <w:tcPr>
            <w:tcW w:w="1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 col }}</w:t>
            </w:r>
          </w:p>
        </w:tc>
        <w:tc>
          <w:tcPr>
            <w:tcW w:w="28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PTAP’s algorithm searches all Detroit sales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 the contention value for {{ formal_owner }}’s property, PTAP averaged the sales prices of the comparable properties, this average was then divided in half.</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Michigan Constitution requires that properties be assessed at no more than 50% of their market value. Given that the true market value of {{ pin }} is {{ contention_faircash }},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show_depreciation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incorrectly depreciated {{ address }} by determining its Effective Age as {{ effective_age }} with a Corresponding Percent Condition of {{ percent_good }}. Due to {{ address }}’s condition evidenced in Appendix 1 and 2 below, the City should have rated the condition of the home as “{{ damage_level }},” with a Corresponding Percent Condition of {{ damage_midpoint }}. As a result, the assessed value of {{ address }} was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xml:space="preserve">{% if </w:t>
      </w:r>
      <w:r>
        <w:rPr>
          <w:rFonts w:eastAsia="Times New Roman" w:cs="Times New Roman" w:ascii="Times New Roman" w:hAnsi="Times New Roman"/>
          <w:b/>
          <w:bCs/>
          <w:color w:val="000000" w:themeColor="text1"/>
          <w:sz w:val="24"/>
          <w:szCs w:val="24"/>
        </w:rPr>
        <w:t>show_depreciation and</w:t>
      </w:r>
      <w:r>
        <w:rPr>
          <w:rFonts w:eastAsia="Times New Roman" w:cs="Times New Roman" w:ascii="Times New Roman" w:hAnsi="Times New Roman"/>
          <w:b/>
          <w:bCs/>
          <w:color w:val="000000" w:themeColor="text1"/>
          <w:sz w:val="24"/>
          <w:szCs w:val="24"/>
        </w:rPr>
        <w:t xml:space="preserve">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7</Pages>
  <Words>792</Words>
  <Characters>3993</Characters>
  <CharactersWithSpaces>4727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2024-02-06T18:35:22Z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