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current_sev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the assessed value should be no more than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pPr>
      <w:r>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8"/>
        <w:gridCol w:w="727"/>
        <w:gridCol w:w="800"/>
        <w:gridCol w:w="1174"/>
        <w:gridCol w:w="725"/>
        <w:gridCol w:w="1075"/>
        <w:gridCol w:w="726"/>
        <w:gridCol w:w="987"/>
        <w:gridCol w:w="902"/>
        <w:gridCol w:w="895"/>
      </w:tblGrid>
      <w:tr>
        <w:trPr>
          <w:trHeight w:val="625" w:hRule="atLeast"/>
        </w:trPr>
        <w:tc>
          <w:tcPr>
            <w:tcW w:w="134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2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w:t>
            </w:r>
            <w:r>
              <w:rPr>
                <w:rFonts w:cs="Times New Roman" w:ascii="Times New Roman" w:hAnsi="Times New Roman"/>
                <w:sz w:val="20"/>
                <w:szCs w:val="20"/>
              </w:rPr>
              <w:t>l</w:t>
            </w:r>
            <w:r>
              <w:rPr>
                <w:rFonts w:cs="Times New Roman" w:ascii="Times New Roman" w:hAnsi="Times New Roman"/>
                <w:sz w:val="20"/>
                <w:szCs w:val="20"/>
              </w:rPr>
              <w:t>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incorrectly depreciated {{ address }} by determining its Effective Age as {{ effective_age }} with a Corresponding Percent Condition of {{ percent_good }}. Due to {{ address }}’s condition evidenced in Appendix 1 and 2 below, the City should have rated the condition of the home as “{{ damage_level }},” with a Corresponding Percent Condition of {{ damage_midpoint }}. As a result, the assessed value of {{ address }} was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Photos of the damage described </w:t>
      </w:r>
      <w:r>
        <w:rPr>
          <w:rFonts w:eastAsia="Times New Roman" w:cs="Times New Roman" w:ascii="Times New Roman" w:hAnsi="Times New Roman"/>
          <w:color w:val="000000" w:themeColor="text1"/>
          <w:sz w:val="24"/>
          <w:szCs w:val="24"/>
        </w:rPr>
        <w:t>in</w:t>
      </w:r>
      <w:r>
        <w:rPr>
          <w:rFonts w:eastAsia="Times New Roman" w:cs="Times New Roman" w:ascii="Times New Roman" w:hAnsi="Times New Roman"/>
          <w:color w:val="000000" w:themeColor="text1"/>
          <w:sz w:val="24"/>
          <w:szCs w:val="24"/>
        </w:rPr>
        <w:t xml:space="preserve">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LibreOffice/7.3.7.2$Linux_X86_64 LibreOffice_project/30$Build-2</Application>
  <AppVersion>15.0000</AppVersion>
  <Pages>5</Pages>
  <Words>759</Words>
  <Characters>4054</Characters>
  <CharactersWithSpaces>4749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2024-02-08T11:34:40Z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