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 formal_owner }}’s Notice of Assessment, {{ pin }} has an assessed value of {{ current_sev }}. This means that the Assessment Division calculates that {{ pin }}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xml:space="preserve">. Const 1963, art 9, § 3 (requiring that municipalities assess property at no more than 50 percent of their true cash value).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assessment is inaccurate. Given the sales price of comparable properties, {{ formal_owner }}’s property has a market value of </w:t>
      </w:r>
      <w:r>
        <w:rPr>
          <w:rFonts w:cs="Times New Roman" w:ascii="Times New Roman" w:hAnsi="Times New Roman"/>
          <w:sz w:val="24"/>
          <w:szCs w:val="24"/>
        </w:rPr>
        <w:t xml:space="preserve">{{ contention_faircash }} </w:t>
      </w:r>
      <w:r>
        <w:rPr>
          <w:rFonts w:eastAsia="Times New Roman" w:cs="Times New Roman" w:ascii="Times New Roman" w:hAnsi="Times New Roman"/>
          <w:sz w:val="24"/>
          <w:szCs w:val="24"/>
        </w:rPr>
        <w:t xml:space="preserve">and the assessed value should be no more than </w:t>
      </w:r>
      <w:r>
        <w:rPr>
          <w:rFonts w:cs="Times New Roman" w:ascii="Times New Roman" w:hAnsi="Times New Roman"/>
          <w:sz w:val="24"/>
          <w:szCs w:val="24"/>
        </w:rPr>
        <w:t>{{ contention_sev }}</w:t>
      </w:r>
      <w:r>
        <w:rPr>
          <w:rFonts w:eastAsia="Times New Roman" w:cs="Times New Roman" w:ascii="Times New Roman" w:hAnsi="Times New Roman"/>
          <w:sz w:val="24"/>
          <w:szCs w:val="24"/>
        </w:rPr>
        <w: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target.exterior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pPr>
      <w:r>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9"/>
        <w:gridCol w:w="726"/>
        <w:gridCol w:w="800"/>
        <w:gridCol w:w="1174"/>
        <w:gridCol w:w="725"/>
        <w:gridCol w:w="1075"/>
        <w:gridCol w:w="726"/>
        <w:gridCol w:w="987"/>
        <w:gridCol w:w="901"/>
        <w:gridCol w:w="896"/>
      </w:tblGrid>
      <w:tr>
        <w:trPr>
          <w:trHeight w:val="625" w:hRule="atLeast"/>
        </w:trPr>
        <w:tc>
          <w:tcPr>
            <w:tcW w:w="134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9"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w:t>
            </w:r>
          </w:p>
        </w:tc>
        <w:tc>
          <w:tcPr>
            <w:tcW w:w="90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PTAP’s algorithm searches all Detroit sales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 the contention value for {{ formal_owner }}’s property, PTAP averaged the sales prices of the comparable properties, this average was then divided in half.</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Michigan Constitution requires that properties be assessed at no more than 50% of their market value. Given that the true market value of {{ pin }} is {{ contention_faircash }},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show_depreciation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incorrectly depreciated {{ address }} by determining its Effective Age as {{ effective_age }} with a Corresponding Percent Condition of {{ percent_good }}. Due to {{ address }}’s condition evidenced in Appendix 1 and 2 below, the City should have rated the condition of the home as “{{ damage_level }},” with a Corresponding Percent Condition of {{ damage_midpoint }}. As a result, the assessed value of {{ address }} was improperly inflated pursuant to the depreciation standards outlined in Volume I of the 2014 Assessor’s Manual. Therefore,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if show_depreciation and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5</Pages>
  <Words>760</Words>
  <Characters>4053</Characters>
  <CharactersWithSpaces>4749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2024-02-07T16:58:44Z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