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protest is submitted on behalf of {{ formal_owner }} by [HIS/HER] authorized representative, the Property Tax Appeal Project (“PTAP”) at the </w:t>
      </w:r>
      <w:r>
        <w:rPr>
          <w:rFonts w:eastAsia="Times New Roman" w:cs="Times New Roman" w:ascii="Times New Roman" w:hAnsi="Times New Roman"/>
          <w:sz w:val="24"/>
          <w:szCs w:val="24"/>
        </w:rPr>
        <w:t>Coalition for Property Tax Justice</w:t>
      </w:r>
      <w:r>
        <w:rPr>
          <w:rFonts w:eastAsia="Times New Roman" w:cs="Times New Roman" w:ascii="Times New Roman" w:hAnsi="Times New Roman"/>
          <w:sz w:val="24"/>
          <w:szCs w:val="24"/>
        </w:rPr>
        <w:t>.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Summary of the Argument</w:t>
      </w:r>
    </w:p>
    <w:p>
      <w:pPr>
        <w:pStyle w:val="Normal"/>
        <w:spacing w:before="0" w:after="0"/>
        <w:ind w:hanging="0"/>
        <w:jc w:val="both"/>
        <w:rPr/>
      </w:pPr>
      <w:r>
        <w:rPr/>
      </w:r>
    </w:p>
    <w:p>
      <w:pPr>
        <w:pStyle w:val="Normal1"/>
        <w:keepNext w:val="false"/>
        <w:keepLines w:val="false"/>
        <w:pageBreakBefore w:val="false"/>
        <w:widowControl/>
        <w:numPr>
          <w:ilvl w:val="0"/>
          <w:numId w:val="1"/>
        </w:numPr>
        <w:pBdr/>
        <w:shd w:val="clear" w:fill="auto"/>
        <w:spacing w:lineRule="auto" w:line="254"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assessed value of {{ address }}, incorrectly determined by the City to be {{ current_sev }}, should be no more than {{ contention_value }}, based on the most similar comparable property: {{ comp_address }}.</w:t>
      </w:r>
    </w:p>
    <w:p>
      <w:pPr>
        <w:pStyle w:val="Normal1"/>
        <w:keepNext w:val="false"/>
        <w:keepLines w:val="false"/>
        <w:pageBreakBefore w:val="false"/>
        <w:widowControl/>
        <w:numPr>
          <w:ilvl w:val="0"/>
          <w:numId w:val="1"/>
        </w:numPr>
        <w:pBdr/>
        <w:shd w:val="clear" w:fill="auto"/>
        <w:spacing w:lineRule="auto" w:line="254"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assessed value of {{ address }} should be reduced under the 1% yearly depreciation guideline in accordance with a correct Effective Age of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capped_age }}.</w:t>
      </w:r>
    </w:p>
    <w:p>
      <w:pPr>
        <w:pStyle w:val="Normal1"/>
        <w:keepNext w:val="false"/>
        <w:keepLines w:val="false"/>
        <w:pageBreakBefore w:val="false"/>
        <w:widowControl/>
        <w:numPr>
          <w:ilvl w:val="0"/>
          <w:numId w:val="1"/>
        </w:numPr>
        <w:pBdr/>
        <w:shd w:val="clear" w:fill="auto"/>
        <w:spacing w:lineRule="auto" w:line="254" w:before="0" w:after="0"/>
        <w:ind w:left="144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If the City of Detroit deviates from the 1% yearly depreciation guideline, the assessed value of {{ address }} should be reduced in accordance with a change in Effective Age to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new_effective_age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1"/>
        </w:numPr>
        <w:pBdr/>
        <w:shd w:val="clear" w:fill="auto"/>
        <w:spacing w:lineRule="auto" w:line="254" w:before="0" w:after="0"/>
        <w:ind w:left="144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assessed value of {{ address }} should be further reduced as a result of impairment in its utility and/or desirability caused by factors outside the property’s boundaries.</w:t>
      </w:r>
      <w:r>
        <w:br w:type="page"/>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2879"/>
        <w:gridCol w:w="1170"/>
        <w:gridCol w:w="1526"/>
        <w:gridCol w:w="1000"/>
        <w:gridCol w:w="987"/>
        <w:gridCol w:w="904"/>
        <w:gridCol w:w="893"/>
      </w:tblGrid>
      <w:tr>
        <w:trPr>
          <w:trHeight w:val="625" w:hRule="atLeast"/>
        </w:trPr>
        <w:tc>
          <w:tcPr>
            <w:tcW w:w="28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117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5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10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2879"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{{target.</w:t>
            </w:r>
            <w:r>
              <w:rPr>
                <w:rFonts w:eastAsia="Times New Roman" w:cs="Times New Roman" w:ascii="Times New Roman" w:hAnsi="Times New Roman"/>
                <w:sz w:val="20"/>
                <w:szCs w:val="20"/>
              </w:rPr>
              <w:t>address}}</w:t>
            </w:r>
          </w:p>
        </w:tc>
        <w:tc>
          <w:tcPr>
            <w:tcW w:w="117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.baths }}</w:t>
            </w:r>
          </w:p>
        </w:tc>
        <w:tc>
          <w:tcPr>
            <w:tcW w:w="15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.total_sq_ft }}</w:t>
            </w:r>
          </w:p>
        </w:tc>
        <w:tc>
          <w:tcPr>
            <w:tcW w:w="10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.exterior}}</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xml:space="preserve">{{ </w:t>
            </w:r>
            <w:r>
              <w:rPr>
                <w:rFonts w:eastAsia="Times New Roman" w:cs="Times New Roman" w:ascii="Times New Roman" w:hAnsi="Times New Roman"/>
                <w:sz w:val="20"/>
                <w:szCs w:val="20"/>
              </w:rPr>
              <w:t>target</w:t>
            </w:r>
            <w:r>
              <w:rPr>
                <w:rFonts w:cs="Times New Roman" w:ascii="Times New Roman" w:hAnsi="Times New Roman"/>
                <w:sz w:val="20"/>
                <w:szCs w:val="20"/>
              </w:rPr>
              <w:t>.neighborhood }}</w:t>
            </w:r>
          </w:p>
        </w:tc>
      </w:tr>
    </w:tbl>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characteristicsinput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characteristicsinput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has_primary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most similar property sold in the target property’s neighborhood during the last 24 months: ({{primary.</w:t>
      </w:r>
      <w:r>
        <w:rPr>
          <w:rFonts w:eastAsia="Times New Roman" w:cs="Times New Roman" w:ascii="Times New Roman" w:hAnsi="Times New Roman"/>
          <w:sz w:val="24"/>
          <w:szCs w:val="24"/>
        </w:rPr>
        <w:t>address</w:t>
      </w:r>
      <w:r>
        <w:rPr>
          <w:rFonts w:eastAsia="Times New Roman" w:cs="Times New Roman" w:ascii="Times New Roman" w:hAnsi="Times New Roman"/>
          <w:sz w:val="24"/>
          <w:szCs w:val="24"/>
        </w:rPr>
        <w:t xml:space="preserve">}}). This property sold for {{primary_sale_price}} on {{ primary_sale_date }}: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0"/>
              <w:ind w:left="0" w:hanging="0"/>
              <w:jc w:val="left"/>
              <w:rPr>
                <w:sz w:val="20"/>
                <w:szCs w:val="20"/>
              </w:rPr>
            </w:pPr>
            <w:r>
              <w:rPr>
                <w:rFonts w:eastAsia="Times New Roman" w:cs="Times New Roman" w:ascii="Times New Roman" w:hAnsi="Times New Roman"/>
                <w:sz w:val="20"/>
                <w:szCs w:val="20"/>
              </w:rPr>
              <w:t>{{primary.</w:t>
            </w:r>
            <w:r>
              <w:rPr>
                <w:rFonts w:eastAsia="Times New Roman" w:cs="Times New Roman" w:ascii="Times New Roman" w:hAnsi="Times New Roman"/>
                <w:sz w:val="20"/>
                <w:szCs w:val="20"/>
              </w:rPr>
              <w:t>address}}</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primary_distance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primary.exterior}}</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primary.neighborhood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City of Detroit assigned {{ address }} an assessed value of {{ target.assessed_value}}. This means that the Assessment Division calculates that this property has a fair market value of {{ current_faircash }}. Const 1963, art 9, § 3 (requiring that municipalities assess property at no more than 50 percent of their true cash value).</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assessment is inaccurate. The Michigan Constitution requires that properties be assessed at no more than 50% of their market value. Based on the above comparable, the true market value of {{ address }} is {{ contention_faircash }} and the assessed value should be no more than {{ contention_sev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54"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To calculate {{ address }}’s market value, the most similar comparable property was selected.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 if has_comparables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These comparable properties were selected from all the residential property sales marked arms-length by the Detroit Assessment Division between </w:t>
      </w:r>
      <w:r>
        <w:rPr>
          <w:rFonts w:eastAsia="Times New Roman" w:cs="Times New Roman" w:ascii="Times New Roman" w:hAnsi="Times New Roman"/>
          <w:sz w:val="24"/>
          <w:szCs w:val="24"/>
        </w:rPr>
        <w:t>January</w:t>
      </w:r>
      <w:r>
        <w:rPr>
          <w:rFonts w:eastAsia="Times New Roman" w:cs="Times New Roman" w:ascii="Times New Roman" w:hAnsi="Times New Roman"/>
          <w:sz w:val="24"/>
          <w:szCs w:val="24"/>
        </w:rPr>
        <w:t xml:space="preserve"> 1, 2021 to </w:t>
      </w:r>
      <w:r>
        <w:rPr>
          <w:rFonts w:eastAsia="Times New Roman" w:cs="Times New Roman" w:ascii="Times New Roman" w:hAnsi="Times New Roman"/>
          <w:sz w:val="24"/>
          <w:szCs w:val="24"/>
        </w:rPr>
        <w:t>December</w:t>
      </w:r>
      <w:r>
        <w:rPr>
          <w:rFonts w:eastAsia="Times New Roman" w:cs="Times New Roman" w:ascii="Times New Roman" w:hAnsi="Times New Roman"/>
          <w:sz w:val="24"/>
          <w:szCs w:val="24"/>
        </w:rPr>
        <w:t xml:space="preserve"> 31, 2023. All comparable properties have the same exterior type as the subject property. The comparable properties also have approximately the same number of rooms, square feet, and are a similar age as the subject property. In support of the argument that the assessed value of {{ address }} should be reduced, the comparable properties below had an average fair market value of {{ contention_faircash2 }}.</w:t>
      </w:r>
    </w:p>
    <w:p>
      <w:pPr>
        <w:pStyle w:val="Normal"/>
        <w:spacing w:lineRule="auto" w:line="252"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1343"/>
        <w:gridCol w:w="732"/>
        <w:gridCol w:w="800"/>
        <w:gridCol w:w="1174"/>
        <w:gridCol w:w="725"/>
        <w:gridCol w:w="1075"/>
        <w:gridCol w:w="726"/>
        <w:gridCol w:w="987"/>
        <w:gridCol w:w="904"/>
        <w:gridCol w:w="893"/>
      </w:tblGrid>
      <w:tr>
        <w:trPr>
          <w:trHeight w:val="625" w:hRule="atLeast"/>
        </w:trPr>
        <w:tc>
          <w:tcPr>
            <w:tcW w:w="13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Address</w:t>
            </w:r>
          </w:p>
        </w:tc>
        <w:tc>
          <w:tcPr>
            <w:tcW w:w="73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Dist.</w:t>
            </w:r>
          </w:p>
        </w:tc>
        <w:tc>
          <w:tcPr>
            <w:tcW w:w="8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Price</w:t>
            </w:r>
          </w:p>
        </w:tc>
        <w:tc>
          <w:tcPr>
            <w:tcW w:w="117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 Date</w:t>
            </w:r>
          </w:p>
        </w:tc>
        <w:tc>
          <w:tcPr>
            <w:tcW w:w="72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Baths</w:t>
            </w:r>
          </w:p>
        </w:tc>
        <w:tc>
          <w:tcPr>
            <w:tcW w:w="10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Square Footage</w:t>
            </w:r>
          </w:p>
        </w:tc>
        <w:tc>
          <w:tcPr>
            <w:tcW w:w="7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Year Built</w:t>
            </w:r>
          </w:p>
        </w:tc>
        <w:tc>
          <w:tcPr>
            <w:tcW w:w="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Exterior</w:t>
            </w:r>
          </w:p>
        </w:tc>
        <w:tc>
          <w:tcPr>
            <w:tcW w:w="9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Stories</w:t>
            </w:r>
          </w:p>
        </w:tc>
        <w:tc>
          <w:tcPr>
            <w:tcW w:w="8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Neighb.</w:t>
            </w:r>
          </w:p>
        </w:tc>
      </w:tr>
      <w:tr>
        <w:trPr>
          <w:trHeight w:val="576" w:hRule="atLeast"/>
        </w:trPr>
        <w:tc>
          <w:tcPr>
            <w:tcW w:w="9359"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left"/>
              <w:rPr/>
            </w:pPr>
            <w:r>
              <w:rPr/>
              <w:t>{%tr for item in comparables %}</w:t>
            </w:r>
          </w:p>
        </w:tc>
      </w:tr>
      <w:tr>
        <w:trPr>
          <w:trHeight w:val="576" w:hRule="atLeast"/>
        </w:trPr>
        <w:tc>
          <w:tcPr>
            <w:tcW w:w="134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item.address }}</w:t>
            </w:r>
          </w:p>
        </w:tc>
        <w:tc>
          <w:tcPr>
            <w:tcW w:w="732"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item.distance }}</w:t>
            </w:r>
          </w:p>
        </w:tc>
        <w:tc>
          <w:tcPr>
            <w:tcW w:w="800"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item.sale_price }}</w:t>
            </w:r>
          </w:p>
        </w:tc>
        <w:tc>
          <w:tcPr>
            <w:tcW w:w="117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item.sale_date }}</w:t>
            </w:r>
          </w:p>
        </w:tc>
        <w:tc>
          <w:tcPr>
            <w:tcW w:w="72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item.baths }}</w:t>
            </w:r>
          </w:p>
        </w:tc>
        <w:tc>
          <w:tcPr>
            <w:tcW w:w="1075"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item.total_sq_ft }}</w:t>
            </w:r>
          </w:p>
        </w:tc>
        <w:tc>
          <w:tcPr>
            <w:tcW w:w="726"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item.year_built}}</w:t>
            </w:r>
          </w:p>
        </w:tc>
        <w:tc>
          <w:tcPr>
            <w:tcW w:w="987"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item.exterior}}</w:t>
            </w:r>
          </w:p>
        </w:tc>
        <w:tc>
          <w:tcPr>
            <w:tcW w:w="904"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item.stories }}</w:t>
            </w:r>
          </w:p>
        </w:tc>
        <w:tc>
          <w:tcPr>
            <w:tcW w:w="893" w:type="dxa"/>
            <w:tcBorders>
              <w:left w:val="single" w:sz="4" w:space="0" w:color="000000"/>
              <w:bottom w:val="single" w:sz="4" w:space="0" w:color="000000"/>
              <w:right w:val="single" w:sz="4" w:space="0" w:color="000000"/>
            </w:tcBorders>
          </w:tcPr>
          <w:p>
            <w:pPr>
              <w:pStyle w:val="Normal"/>
              <w:widowControl w:val="false"/>
              <w:spacing w:before="0" w:after="160"/>
              <w:jc w:val="left"/>
              <w:rPr/>
            </w:pPr>
            <w:r>
              <w:rPr>
                <w:rFonts w:cs="Times New Roman" w:ascii="Times New Roman" w:hAnsi="Times New Roman"/>
                <w:sz w:val="20"/>
                <w:szCs w:val="20"/>
              </w:rPr>
              <w:t>{{ item.neighborhood }}</w:t>
            </w:r>
          </w:p>
        </w:tc>
      </w:tr>
      <w:tr>
        <w:trPr>
          <w:trHeight w:val="576" w:hRule="atLeast"/>
        </w:trPr>
        <w:tc>
          <w:tcPr>
            <w:tcW w:w="9359" w:type="dxa"/>
            <w:gridSpan w:val="10"/>
            <w:tcBorders>
              <w:left w:val="single" w:sz="4" w:space="0" w:color="000000"/>
              <w:bottom w:val="single" w:sz="4" w:space="0" w:color="000000"/>
              <w:right w:val="single" w:sz="4" w:space="0" w:color="000000"/>
            </w:tcBorders>
          </w:tcPr>
          <w:p>
            <w:pPr>
              <w:pStyle w:val="Normal"/>
              <w:widowControl w:val="false"/>
              <w:spacing w:before="0" w:after="160"/>
              <w:jc w:val="left"/>
              <w:rPr/>
            </w:pPr>
            <w:r>
              <w:rPr/>
              <w:t>{%tr endfor %}</w:t>
            </w:r>
          </w:p>
        </w:tc>
      </w:tr>
    </w:tbl>
    <w:p>
      <w:pPr>
        <w:pStyle w:val="Normal"/>
        <w:spacing w:lineRule="auto" w:line="252"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schedule_incorrect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The City of Detroit has incorrectly depreciated {{ address}}. The City’s failure to accurately depreciate the property is based on the depreciation standards outlined in Volume I of the 2014 Assessor’s Manual. {{ address }} has an Actual Age of {{ target.age }} but the City assigned an Effective Age of {{ target.effective_age }}. Therefore, the City claimed that the property was {{ percent_good }}% good for purposes of determining the property’s depreciated cost and True Cash Value. According to the standard 1% value decrease per year, the City should have assigned the property an Effective Age of {{ capped_age }} with a percent good of {{ capped_percent_good }}%. The City is only allowed to deviate from the 1% yearly depreciation for “exceptional maintenance, remodeling, replacements and additions,” including exceptionally poor maintenance. The property did not experience any such improvement that would warrant a deviation from the 1% yearly depreciation. As a result, the City incorrectly depreciated and assessed the property. Therefore, we are seeking a reduction of the assessed value of {{ address }}, in accordance with a change in Effective Age to {{ capped_age }}.</w:t>
      </w:r>
    </w:p>
    <w:p>
      <w:pPr>
        <w:pStyle w:val="Normal"/>
        <w:spacing w:lineRule="auto" w:line="252" w:before="0" w:after="0"/>
        <w:ind w:left="72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endif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b/>
        <w:t>{% if show_depreciation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City of Detroit has also incorrectly depreciated {{ address }} by determining its Effective Age as {{ effective_age }} with a Corresponding Percent Condition of {{ percent_good }} to determine that the property’s condition rating was “{{ assessor_damage_level }}”. Due to {{ address }}’s condition evidenced in Appendix 1 and 2 below, the City should have rated the condition of the home as “{{ damage_level }},” with a Corresponding Percent Condition of {{ damage_midpoint }}. As a result, the assessed value of {{ address }} was similarly improperly inflated pursuant to the depreciation standards outlined in Volume I of the 2014 Assessor’s Manual. Therefore, if the City of Detroit deviates from the 1% yearly depreciation guideline, we are seeking a reduction of the assessed value of {{ address }}, in accordance with a change in Effective Age to {{ new_effective_age }}.</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r>
        <w:rPr/>
        <w:t>{% if economic_obsolescence %}</w:t>
      </w:r>
    </w:p>
    <w:p>
      <w:pPr>
        <w:pStyle w:val="Normal"/>
        <w:ind w:left="720" w:hanging="0"/>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Sincerely,</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LOnormal"/>
        <w:spacing w:lineRule="auto" w:line="252"/>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r>
        <w:rPr>
          <w:rFonts w:eastAsia="Times New Roman" w:cs="Times New Roman" w:ascii="Times New Roman" w:hAnsi="Times New Roman"/>
          <w:b/>
          <w:sz w:val="24"/>
          <w:szCs w:val="24"/>
        </w:rPr>
        <w:t xml:space="preserve"> </w:t>
      </w:r>
    </w:p>
    <w:p>
      <w:pPr>
        <w:pStyle w:val="LOnormal"/>
        <w:spacing w:lineRule="auto" w:line="252"/>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damage }}</w:t>
      </w:r>
    </w:p>
    <w:p>
      <w:pPr>
        <w:pStyle w:val="Normal"/>
        <w:rPr>
          <w:rFonts w:ascii="Times New Roman" w:hAnsi="Times New Roman" w:eastAsia="Times New Roman" w:cs="Times New Roman"/>
          <w:sz w:val="24"/>
          <w:szCs w:val="24"/>
        </w:rPr>
      </w:pPr>
      <w:r>
        <w:rPr>
          <w:rFonts w:eastAsia="Times New Roman" w:cs="Times New Roman" w:ascii="Times New Roman" w:hAnsi="Times New Roman"/>
          <w:b/>
          <w:bCs/>
          <w:color w:val="000000" w:themeColor="text1"/>
          <w:sz w:val="24"/>
          <w:szCs w:val="24"/>
        </w:rPr>
        <w:t>{% if has_images %}</w:t>
      </w:r>
      <w:r>
        <w:br w:type="page"/>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in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
    </w:p>
    <w:sectPr>
      <w:headerReference w:type="default" r:id="rId2"/>
      <w:type w:val="nextPage"/>
      <w:pgSz w:w="12240" w:h="15840"/>
      <w:pgMar w:left="1440" w:right="1440" w:gutter="0" w:header="90" w:top="1098"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514475" cy="814070"/>
          <wp:effectExtent l="0" t="0" r="0" b="0"/>
          <wp:docPr id="1" name="Image1" descr="A key in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key in a house&#10;&#10;Description automatically generated"/>
                  <pic:cNvPicPr>
                    <a:picLocks noChangeAspect="1" noChangeArrowheads="1"/>
                  </pic:cNvPicPr>
                </pic:nvPicPr>
                <pic:blipFill>
                  <a:blip r:embed="rId1"/>
                  <a:stretch>
                    <a:fillRect/>
                  </a:stretch>
                </pic:blipFill>
                <pic:spPr bwMode="auto">
                  <a:xfrm>
                    <a:off x="0" y="0"/>
                    <a:ext cx="1514475" cy="814070"/>
                  </a:xfrm>
                  <a:prstGeom prst="rect">
                    <a:avLst/>
                  </a:prstGeom>
                </pic:spPr>
              </pic:pic>
            </a:graphicData>
          </a:graphic>
        </wp:inline>
      </w:drawing>
      <w:drawing>
        <wp:anchor behindDoc="1" distT="114300" distB="114300" distL="114300" distR="114300" simplePos="0" locked="0" layoutInCell="0" allowOverlap="1" relativeHeight="13">
          <wp:simplePos x="0" y="0"/>
          <wp:positionH relativeFrom="column">
            <wp:posOffset>4758055</wp:posOffset>
          </wp:positionH>
          <wp:positionV relativeFrom="paragraph">
            <wp:posOffset>76200</wp:posOffset>
          </wp:positionV>
          <wp:extent cx="1490980" cy="66230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rcRect l="0" t="28450" r="0" b="27193"/>
                  <a:stretch>
                    <a:fillRect/>
                  </a:stretch>
                </pic:blipFill>
                <pic:spPr bwMode="auto">
                  <a:xfrm>
                    <a:off x="0" y="0"/>
                    <a:ext cx="1490980" cy="6623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76" w:before="0" w:after="0"/>
      <w:jc w:val="left"/>
    </w:pPr>
    <w:rPr>
      <w:rFonts w:ascii="Calibri" w:hAnsi="Calibri" w:eastAsia="Calibri" w:cs="Calibri"/>
      <w:color w:val="auto"/>
      <w:kern w:val="0"/>
      <w:sz w:val="22"/>
      <w:szCs w:val="22"/>
      <w:lang w:val="en-US" w:eastAsia="en-US" w:bidi="ar-SA"/>
    </w:rPr>
  </w:style>
  <w:style w:type="paragraph" w:styleId="Normal1">
    <w:name w:val="LO-normal1"/>
    <w:qFormat/>
    <w:pPr>
      <w:widowControl/>
      <w:bidi w:val="0"/>
      <w:spacing w:lineRule="auto" w:line="276"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Application>LibreOffice/7.3.7.2$Linux_X86_64 LibreOffice_project/30$Build-2</Application>
  <AppVersion>15.0000</AppVersion>
  <Pages>6</Pages>
  <Words>1198</Words>
  <Characters>6470</Characters>
  <CharactersWithSpaces>7570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2025-02-14T16:40:30Z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