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
            <wp:simplePos x="0" y="0"/>
            <wp:positionH relativeFrom="column">
              <wp:posOffset>1230630</wp:posOffset>
            </wp:positionH>
            <wp:positionV relativeFrom="paragraph">
              <wp:posOffset>80010</wp:posOffset>
            </wp:positionV>
            <wp:extent cx="1514475" cy="809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14475" cy="80962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3017520</wp:posOffset>
            </wp:positionH>
            <wp:positionV relativeFrom="paragraph">
              <wp:posOffset>64135</wp:posOffset>
            </wp:positionV>
            <wp:extent cx="2194560" cy="8140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94560" cy="81407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Summary of the Argument</w:t>
      </w:r>
    </w:p>
    <w:p>
      <w:pPr>
        <w:pStyle w:val="Normal"/>
        <w:spacing w:before="0" w:after="0"/>
        <w:ind w:hanging="0"/>
        <w:jc w:val="both"/>
        <w:rPr/>
      </w:pPr>
      <w:r>
        <w:rPr/>
      </w:r>
    </w:p>
    <w:p>
      <w:pPr>
        <w:pStyle w:val="LOnormal1"/>
        <w:keepNext w:val="false"/>
        <w:keepLines w:val="false"/>
        <w:pageBreakBefore w:val="false"/>
        <w:widowControl/>
        <w:numPr>
          <w:ilvl w:val="0"/>
          <w:numId w:val="1"/>
        </w:numPr>
        <w:shd w:val="clear" w:fill="auto"/>
        <w:spacing w:lineRule="auto" w:line="252"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assessed value of {{ address }}, incorrectly determined by the City to be {{ target.assessed_value }}, should be no more than {{ primary.assessed_value }}, based on the most similar comparable property: {{ primary.address }}.</w:t>
      </w:r>
    </w:p>
    <w:p>
      <w:pPr>
        <w:pStyle w:val="LOnormal1"/>
        <w:keepNext w:val="false"/>
        <w:keepLines w:val="false"/>
        <w:pageBreakBefore w:val="false"/>
        <w:widowControl/>
        <w:numPr>
          <w:ilvl w:val="0"/>
          <w:numId w:val="1"/>
        </w:numPr>
        <w:shd w:val="clear" w:fill="auto"/>
        <w:spacing w:lineRule="auto" w:line="252"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assessed value of {{ address }} should be reduced under the 1% yearly depreciation guideline in accordance with a correct Effective Age of {{ capped_age }}.</w:t>
      </w:r>
    </w:p>
    <w:p>
      <w:pPr>
        <w:pStyle w:val="LOnormal1"/>
        <w:keepNext w:val="false"/>
        <w:keepLines w:val="false"/>
        <w:pageBreakBefore w:val="false"/>
        <w:widowControl/>
        <w:numPr>
          <w:ilvl w:val="0"/>
          <w:numId w:val="1"/>
        </w:numPr>
        <w:shd w:val="clear" w:fill="auto"/>
        <w:spacing w:lineRule="auto" w:line="252" w:before="0" w:after="0"/>
        <w:ind w:left="14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the City of Detroit deviates from the 1% yearly depreciation guideline, the assessed value of {{ address }} should be reduced in accordance with a change in Effective Age to {{ new_effective_age }}.</w:t>
      </w:r>
    </w:p>
    <w:p>
      <w:pPr>
        <w:pStyle w:val="LOnormal1"/>
        <w:keepNext w:val="false"/>
        <w:keepLines w:val="false"/>
        <w:pageBreakBefore w:val="false"/>
        <w:widowControl/>
        <w:numPr>
          <w:ilvl w:val="0"/>
          <w:numId w:val="1"/>
        </w:numPr>
        <w:shd w:val="clear" w:fill="auto"/>
        <w:spacing w:lineRule="auto" w:line="252"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assessed value of {{ address }} should be further reduced as a result of impairment in its utility and/or desirability caused by factors outside the property’s boundaries.</w:t>
      </w:r>
      <w:r>
        <w:br w:type="page"/>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0"/>
        <w:gridCol w:w="1526"/>
        <w:gridCol w:w="1000"/>
        <w:gridCol w:w="987"/>
        <w:gridCol w:w="904"/>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{{target.address}}</w:t>
            </w:r>
          </w:p>
        </w:tc>
        <w:tc>
          <w:tcPr>
            <w:tcW w:w="117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w:t>
            </w:r>
            <w:r>
              <w:rPr>
                <w:rFonts w:cs="Times New Roman" w:ascii="Times New Roman" w:hAnsi="Times New Roman"/>
                <w:sz w:val="20"/>
                <w:szCs w:val="20"/>
              </w:rPr>
              <w:t>building</w:t>
            </w:r>
            <w:r>
              <w:rPr>
                <w:rFonts w:cs="Times New Roman" w:ascii="Times New Roman" w:hAnsi="Times New Roman"/>
                <w:sz w:val="20"/>
                <w:szCs w:val="20"/>
              </w:rPr>
              <w:t>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.exterior}}</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property.characteristicsinput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information is not accurate. {{ property.characteristicsinput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has_primary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Here is the relevant data on the most similar property sold in the target property’s neighborhood during the last 24 months: ({{primary.address}}). This property sold for {{primary_sale_price}} on {{ primary_sale_date }}: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{{primary.address}}</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primary_distance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w:t>
            </w:r>
            <w:r>
              <w:rPr>
                <w:rFonts w:cs="Times New Roman" w:ascii="Times New Roman" w:hAnsi="Times New Roman"/>
                <w:sz w:val="20"/>
                <w:szCs w:val="20"/>
              </w:rPr>
              <w:t>building</w:t>
            </w:r>
            <w:r>
              <w:rPr>
                <w:rFonts w:cs="Times New Roman" w:ascii="Times New Roman" w:hAnsi="Times New Roman"/>
                <w:sz w:val="20"/>
                <w:szCs w:val="20"/>
              </w:rPr>
              <w:t>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primary.exterior}}</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be assessed at no more than 50% of their market value. Based on the above comparable, the true market value of {{ address }} is {{ contention_faircash }} and the assessed value should be no more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1"/>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 if has_comparables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January 1, 2021 to December 31,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fair market value of {{ contention_faircash2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w:t>
            </w:r>
            <w:r>
              <w:rPr>
                <w:rFonts w:cs="Times New Roman" w:ascii="Times New Roman" w:hAnsi="Times New Roman"/>
                <w:sz w:val="20"/>
                <w:szCs w:val="20"/>
              </w:rPr>
              <w:t>building</w:t>
            </w:r>
            <w:r>
              <w:rPr>
                <w:rFonts w:cs="Times New Roman" w:ascii="Times New Roman" w:hAnsi="Times New Roman"/>
                <w:sz w:val="20"/>
                <w:szCs w:val="20"/>
              </w:rPr>
              <w:t>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City of Detroit has incorrectly depreciated {{ address}}. The City’s failure to accurately depreciate the property is based on the depreciation standards outlined in Volume I of the 2014 Assessor’s Manual. {{ address }} has an Actual Age of {{ age }} but the City assigned an Effective Age of {{ effective_age }}. Therefore, the City claimed that the property was {{ percent_good }}% good for purposes of determining the property’s depreciated cost and True Cash Value. According to the standard 1% value decrease per year, the City should have assigned the property an Effective Age of {{ capped_age }} with a percent good of {{ capped_percent_good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capped_age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if the City of Detroit deviates from the 1% yearly depreciation guideline,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r>
        <w:rPr/>
        <w:t>{% if economic_obsolescence %}</w:t>
      </w:r>
    </w:p>
    <w:p>
      <w:pPr>
        <w:pStyle w:val="Normal"/>
        <w:ind w:left="720" w:hanging="0"/>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LOnormal"/>
        <w:spacing w:lineRule="auto" w:line="25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Property Tax Appeal Project, Coalition for Property Tax Justice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b/>
          <w:bCs/>
          <w:color w:val="000000" w:themeColor="text1"/>
          <w:sz w:val="24"/>
          <w:szCs w:val="24"/>
        </w:rPr>
        <w:t>{% if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
    </w:p>
    <w:sectPr>
      <w:headerReference w:type="default" r:id="rId4"/>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paragraph" w:styleId="LOnormal1">
    <w:name w:val="LO-normal1"/>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Application>LibreOffice/7.3.7.2$Linux_X86_64 LibreOffice_project/30$Build-2</Application>
  <AppVersion>15.0000</AppVersion>
  <Pages>6</Pages>
  <Words>1203</Words>
  <Characters>6525</Characters>
  <CharactersWithSpaces>7630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2025-02-15T11:29:02Z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file>