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page">
              <wp:align>center</wp:align>
            </wp:positionH>
            <wp:positionV relativeFrom="page">
              <wp:posOffset>396875</wp:posOffset>
            </wp:positionV>
            <wp:extent cx="4758055"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8055" cy="12026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Milwaukee Assessor’s Office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200 E Wells Street, Room 507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Milwaukee, WI 53202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r>
      <w:r>
        <w:rPr>
          <w:rFonts w:eastAsia="Times New Roman" w:cs="Times New Roman" w:ascii="Times New Roman" w:hAnsi="Times New Roman"/>
          <w:b/>
          <w:bCs/>
          <w:sz w:val="24"/>
          <w:szCs w:val="24"/>
        </w:rPr>
        <w:t>Objection to Real Property Assessment</w:t>
      </w: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Assessors: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objection is submitted on behalf of {{ formal_owner }} by [his/her/their] authorized representative, the Neighborhood Law Clinic (See attached: Agent Authorization Form). The property’s current assessed value is {{ target.assessed_value }}. However, for the reasons explained below, this property’s assessed value should be no more than/less than {{ contention_faircash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TEMPLATE 1: USE IF RECENT ARM’S-LENGTH SALE AND PROP CHANGES BTW SALE-1/1/24</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City of Milwaukee should reduce the property’s assessed value because it fails to reflect property changes that occurred between the recent sale date of {{ target.sale_date }} and January 1, 202</w:t>
      </w:r>
      <w:r>
        <w:rPr>
          <w:rFonts w:ascii="Times New Roman" w:hAnsi="Times New Roman"/>
          <w:sz w:val="24"/>
          <w:szCs w:val="24"/>
        </w:rPr>
        <w:t>5</w:t>
      </w:r>
      <w:r>
        <w:rPr>
          <w:rFonts w:ascii="Times New Roman" w:hAnsi="Times New Roman"/>
          <w:sz w:val="24"/>
          <w:szCs w:val="24"/>
        </w:rPr>
        <w:t>. Wisconsin jurisdictions are required to assess residential properties at 100% of their fair market value, in accordance with Wisconsin Statute § 70.32 and the Wisconsin Property Assessment Manual (“202</w:t>
      </w:r>
      <w:r>
        <w:rPr>
          <w:rFonts w:ascii="Times New Roman" w:hAnsi="Times New Roman"/>
          <w:sz w:val="24"/>
          <w:szCs w:val="24"/>
        </w:rPr>
        <w:t>5</w:t>
      </w:r>
      <w:r>
        <w:rPr>
          <w:rFonts w:ascii="Times New Roman" w:hAnsi="Times New Roman"/>
          <w:sz w:val="24"/>
          <w:szCs w:val="24"/>
        </w:rPr>
        <w:t xml:space="preserve"> Manual”). To estimate a property’s fair market value, the best indicator of value is a recent arm’s-length sale of the subject property. See Wis. Stat. § 70.32; 202</w:t>
      </w:r>
      <w:r>
        <w:rPr>
          <w:rFonts w:ascii="Times New Roman" w:hAnsi="Times New Roman"/>
          <w:sz w:val="24"/>
          <w:szCs w:val="24"/>
        </w:rPr>
        <w:t>5</w:t>
      </w:r>
      <w:r>
        <w:rPr>
          <w:rFonts w:ascii="Times New Roman" w:hAnsi="Times New Roman"/>
          <w:sz w:val="24"/>
          <w:szCs w:val="24"/>
        </w:rPr>
        <w:t xml:space="preserve"> Manual at 9-23.</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assessed value of {{ target.street_number}} {{target.street_name}}, which the property owner purchased via arm’s-length sale on {{ target.sale_date }} for {{ target.sale_price }}, is inaccurate. The City of Milwaukee assigned {{ target.street_number}} {{target.street_name}} an assessed value of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City of Milwaukee calculates this property’s fair market value to be {{ t</w:t>
      </w:r>
      <w:r>
        <w:rPr>
          <w:rFonts w:eastAsia="Times New Roman" w:cs="Times New Roman" w:ascii="Times New Roman" w:hAnsi="Times New Roman"/>
          <w:sz w:val="24"/>
          <w:szCs w:val="24"/>
        </w:rPr>
        <w:t>arget.assessed_value</w:t>
      </w:r>
      <w:r>
        <w:rPr>
          <w:rFonts w:ascii="Times New Roman" w:hAnsi="Times New Roman"/>
          <w:sz w:val="24"/>
          <w:szCs w:val="24"/>
        </w:rPr>
        <w:t xml:space="preserve"> }}. However, the true market value of {{ target.street_number}} {{target.street_name}} should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assessed value should also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Since {{ target.sale_date }}, the subject property has experienced significant alterations that negatively impact the value that the property owner of {{ target.street_number}} {{target.street_name}} could obtain in an arm’s-length transaction. Specifically, [(1) identify a structure or feature (ex garage that a tree fell on) that was removed after the sale date and before January 1, 202</w:t>
      </w:r>
      <w:r>
        <w:rPr>
          <w:rFonts w:ascii="Times New Roman" w:hAnsi="Times New Roman"/>
          <w:sz w:val="24"/>
          <w:szCs w:val="24"/>
        </w:rPr>
        <w:t>5</w:t>
      </w:r>
      <w:r>
        <w:rPr>
          <w:rFonts w:ascii="Times New Roman" w:hAnsi="Times New Roman"/>
          <w:sz w:val="24"/>
          <w:szCs w:val="24"/>
        </w:rPr>
        <w:t xml:space="preserve">; (2) explain how this negatively impacts property; (3) assert this warrants a reduction in assessed value. If there’s an anchor # (a damage estimate for ex), use that; otherwise change contention value to the assessed value below.]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For this reason, {{ target.street_number}} {{target.street_name}}’s assessed value should be no more than/less than {{ contention_value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Sincerely,</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NEIGHBORHOOD LAW CLINIC</w:t>
      </w:r>
    </w:p>
    <w:p>
      <w:pPr>
        <w:pStyle w:val="Normal"/>
        <w:spacing w:before="0" w:after="0"/>
        <w:ind w:hanging="0"/>
        <w:jc w:val="both"/>
        <w:rPr>
          <w:rFonts w:ascii="Times New Roman" w:hAnsi="Times New Roman"/>
          <w:sz w:val="24"/>
          <w:szCs w:val="24"/>
        </w:rPr>
      </w:pPr>
      <w:r>
        <w:rPr>
          <w:rFonts w:ascii="Times New Roman" w:hAnsi="Times New Roman"/>
          <w:sz w:val="24"/>
          <w:szCs w:val="24"/>
        </w:rPr>
        <w:t>University of Wisconsin Law School</w:t>
      </w:r>
    </w:p>
    <w:p>
      <w:pPr>
        <w:pStyle w:val="Normal"/>
        <w:spacing w:before="0" w:after="0"/>
        <w:ind w:hanging="0"/>
        <w:jc w:val="both"/>
        <w:rPr>
          <w:rFonts w:ascii="Times New Roman" w:hAnsi="Times New Roman"/>
          <w:sz w:val="24"/>
          <w:szCs w:val="24"/>
        </w:rPr>
      </w:pPr>
      <w:r>
        <w:rPr>
          <w:rFonts w:ascii="Times New Roman" w:hAnsi="Times New Roman"/>
          <w:sz w:val="24"/>
          <w:szCs w:val="24"/>
        </w:rPr>
        <w:t>975 Bascom Mall</w:t>
      </w:r>
    </w:p>
    <w:p>
      <w:pPr>
        <w:pStyle w:val="Normal"/>
        <w:spacing w:before="0" w:after="0"/>
        <w:ind w:hanging="0"/>
        <w:jc w:val="both"/>
        <w:rPr>
          <w:rFonts w:ascii="Times New Roman" w:hAnsi="Times New Roman"/>
          <w:sz w:val="24"/>
          <w:szCs w:val="24"/>
        </w:rPr>
      </w:pPr>
      <w:r>
        <w:rPr>
          <w:rFonts w:ascii="Times New Roman" w:hAnsi="Times New Roman"/>
          <w:sz w:val="24"/>
          <w:szCs w:val="24"/>
        </w:rPr>
        <w:t>Madison, WI 53706</w:t>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nlc@law.wisc.edu </w:t>
      </w:r>
    </w:p>
    <w:p>
      <w:pPr>
        <w:pStyle w:val="Normal"/>
        <w:spacing w:before="0" w:after="0"/>
        <w:ind w:hanging="0"/>
        <w:jc w:val="both"/>
        <w:rPr>
          <w:rFonts w:ascii="Times New Roman" w:hAnsi="Times New Roman"/>
          <w:sz w:val="24"/>
          <w:szCs w:val="24"/>
        </w:rPr>
      </w:pPr>
      <w:r>
        <w:rPr>
          <w:rFonts w:ascii="Times New Roman" w:hAnsi="Times New Roman"/>
          <w:sz w:val="24"/>
          <w:szCs w:val="24"/>
        </w:rPr>
        <w:t>(608)265-2441</w:t>
      </w:r>
    </w:p>
    <w:p>
      <w:pPr>
        <w:pStyle w:val="Normal"/>
        <w:spacing w:before="0" w:after="0"/>
        <w:ind w:hanging="0"/>
        <w:jc w:val="both"/>
        <w:rPr>
          <w:rFonts w:ascii="Times New Roman" w:hAnsi="Times New Roman"/>
          <w:sz w:val="24"/>
          <w:szCs w:val="24"/>
        </w:rPr>
      </w:pPr>
      <w:r>
        <w:rPr>
          <w:rFonts w:ascii="Times New Roman" w:hAnsi="Times New Roman"/>
          <w:sz w:val="24"/>
          <w:szCs w:val="24"/>
        </w:rPr>
        <w:t>tmhenson@wisc.edu</w:t>
      </w:r>
    </w:p>
    <w:p>
      <w:pPr>
        <w:pStyle w:val="Normal"/>
        <w:spacing w:before="0" w:after="0"/>
        <w:ind w:hanging="0"/>
        <w:jc w:val="both"/>
        <w:rPr>
          <w:rFonts w:ascii="Times New Roman" w:hAnsi="Times New Roman"/>
          <w:sz w:val="24"/>
          <w:szCs w:val="24"/>
        </w:rPr>
      </w:pPr>
      <w:r>
        <w:rPr>
          <w:rFonts w:ascii="Times New Roman" w:hAnsi="Times New Roman"/>
          <w:sz w:val="24"/>
          <w:szCs w:val="24"/>
        </w:rPr>
        <w:t>(608)262-5346</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TEMPLATE 2: USE WHEN STRONG ARG RE: SIMILAR COMPS AND NO DAMAGE/ECON OBS</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City of Milwaukee should reduce {{ target.street_number}} {{target.street_name}}’s assessed value because recent arm’s-length sale prices of comparable properties show that this property’s assessed value is inaccurate. Wisconsin jurisdictions are required to assess residential properties at 100% of their fair market value, in accordance with Wisconsin Statute § 70.32 and the Wisconsin Property Assessment Manual (“202</w:t>
      </w:r>
      <w:r>
        <w:rPr>
          <w:rFonts w:ascii="Times New Roman" w:hAnsi="Times New Roman"/>
          <w:sz w:val="24"/>
          <w:szCs w:val="24"/>
        </w:rPr>
        <w:t>5</w:t>
      </w:r>
      <w:r>
        <w:rPr>
          <w:rFonts w:ascii="Times New Roman" w:hAnsi="Times New Roman"/>
          <w:sz w:val="24"/>
          <w:szCs w:val="24"/>
        </w:rPr>
        <w:t xml:space="preserve"> Manual”).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To estimate the fair market value of a property that was not recently subject to arm’s-length sale, the best evidence of value is recent arm’s-length sales of reasonably comparable properties (See Wis. Stat. § 70.32; 202</w:t>
      </w:r>
      <w:r>
        <w:rPr>
          <w:rFonts w:ascii="Times New Roman" w:hAnsi="Times New Roman"/>
          <w:sz w:val="24"/>
          <w:szCs w:val="24"/>
        </w:rPr>
        <w:t>5</w:t>
      </w:r>
      <w:r>
        <w:rPr>
          <w:rFonts w:ascii="Times New Roman" w:hAnsi="Times New Roman"/>
          <w:sz w:val="24"/>
          <w:szCs w:val="24"/>
        </w:rPr>
        <w:t xml:space="preserve"> Manual at 9-23). In developing value through this approach, the assessor looks not to the number of sales, but to how comparable the sales are to the subject property (202</w:t>
      </w:r>
      <w:r>
        <w:rPr>
          <w:rFonts w:ascii="Times New Roman" w:hAnsi="Times New Roman"/>
          <w:sz w:val="24"/>
          <w:szCs w:val="24"/>
        </w:rPr>
        <w:t>5</w:t>
      </w:r>
      <w:r>
        <w:rPr>
          <w:rFonts w:ascii="Times New Roman" w:hAnsi="Times New Roman"/>
          <w:sz w:val="24"/>
          <w:szCs w:val="24"/>
        </w:rPr>
        <w:t xml:space="preserve"> Manual at 9-24). The more similar the comparable property, the more reliably the sale price indicates the subject property’s value (20</w:t>
      </w:r>
      <w:r>
        <w:rPr>
          <w:rFonts w:ascii="Times New Roman" w:hAnsi="Times New Roman"/>
          <w:sz w:val="24"/>
          <w:szCs w:val="24"/>
        </w:rPr>
        <w:t>25</w:t>
      </w:r>
      <w:r>
        <w:rPr>
          <w:rFonts w:ascii="Times New Roman" w:hAnsi="Times New Roman"/>
          <w:sz w:val="24"/>
          <w:szCs w:val="24"/>
        </w:rPr>
        <w:t xml:space="preserve"> Manual at 9-2</w:t>
      </w:r>
      <w:r>
        <w:rPr>
          <w:rFonts w:ascii="Times New Roman" w:hAnsi="Times New Roman"/>
          <w:sz w:val="24"/>
          <w:szCs w:val="24"/>
        </w:rPr>
        <w:t>4</w:t>
      </w:r>
      <w:r>
        <w:rPr>
          <w:rFonts w:ascii="Times New Roman" w:hAnsi="Times New Roman"/>
          <w:sz w:val="24"/>
          <w:szCs w:val="24"/>
        </w:rPr>
        <w:t>). Indicators of comparison include similarities in location, size, style, condition, age, and other physical features (202</w:t>
      </w:r>
      <w:r>
        <w:rPr>
          <w:rFonts w:ascii="Times New Roman" w:hAnsi="Times New Roman"/>
          <w:sz w:val="24"/>
          <w:szCs w:val="24"/>
        </w:rPr>
        <w:t>5</w:t>
      </w:r>
      <w:r>
        <w:rPr>
          <w:rFonts w:ascii="Times New Roman" w:hAnsi="Times New Roman"/>
          <w:sz w:val="24"/>
          <w:szCs w:val="24"/>
        </w:rPr>
        <w:t xml:space="preserve"> Manual at 9-24).</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pPr>
      <w:r>
        <w:rPr>
          <w:rFonts w:ascii="Times New Roman" w:hAnsi="Times New Roman"/>
          <w:sz w:val="24"/>
          <w:szCs w:val="24"/>
        </w:rPr>
        <w:t>Relevant characteristics for {{ address }}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628"/>
        <w:gridCol w:w="1068"/>
        <w:gridCol w:w="1393"/>
        <w:gridCol w:w="913"/>
        <w:gridCol w:w="730"/>
        <w:gridCol w:w="996"/>
        <w:gridCol w:w="816"/>
        <w:gridCol w:w="815"/>
      </w:tblGrid>
      <w:tr>
        <w:trPr>
          <w:trHeight w:val="625" w:hRule="atLeast"/>
        </w:trPr>
        <w:tc>
          <w:tcPr>
            <w:tcW w:w="26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2628"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0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3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9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9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1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.building_type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 address }}’s market value, one must look at the most similar comparable property. 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226"/>
        <w:gridCol w:w="668"/>
        <w:gridCol w:w="730"/>
        <w:gridCol w:w="1074"/>
        <w:gridCol w:w="660"/>
        <w:gridCol w:w="981"/>
        <w:gridCol w:w="665"/>
        <w:gridCol w:w="730"/>
        <w:gridCol w:w="997"/>
        <w:gridCol w:w="815"/>
        <w:gridCol w:w="812"/>
      </w:tblGrid>
      <w:tr>
        <w:trPr>
          <w:trHeight w:val="625" w:hRule="atLeast"/>
        </w:trPr>
        <w:tc>
          <w:tcPr>
            <w:tcW w:w="1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0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66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9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66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12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6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0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66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98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66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99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1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c>
          <w:tcPr>
            <w:tcW w:w="81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primary.building_type}}</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Together with the most comparable property, the table below lists {{ comparables_count }} additional comparable properties sold between January 1, 202</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3</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xml:space="preserve"> and January 1, 202</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5</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The comparable properties have an average fair market value of {{ contention_faircash2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988"/>
        <w:gridCol w:w="634"/>
        <w:gridCol w:w="716"/>
        <w:gridCol w:w="900"/>
        <w:gridCol w:w="724"/>
        <w:gridCol w:w="1263"/>
        <w:gridCol w:w="902"/>
        <w:gridCol w:w="713"/>
        <w:gridCol w:w="1088"/>
        <w:gridCol w:w="626"/>
        <w:gridCol w:w="804"/>
      </w:tblGrid>
      <w:tr>
        <w:trPr>
          <w:trHeight w:val="625" w:hRule="atLeast"/>
        </w:trPr>
        <w:tc>
          <w:tcPr>
            <w:tcW w:w="9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2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0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62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93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9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63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71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2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90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7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62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c>
          <w:tcPr>
            <w:tcW w:w="8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item.building_type }}</w:t>
            </w:r>
          </w:p>
        </w:tc>
      </w:tr>
      <w:tr>
        <w:trPr>
          <w:trHeight w:val="576" w:hRule="atLeast"/>
        </w:trPr>
        <w:tc>
          <w:tcPr>
            <w:tcW w:w="9358" w:type="dxa"/>
            <w:gridSpan w:val="11"/>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In summary, recent arm’s-length sales of reasonably comparable properties show that {{ address }}’s assessed value is inaccurate. The City of Milwaukee assigned {{ address }} an assessed value of {{ target.assessed_value }}. However, the true market value of {{ address }} should be no more than {{ contention_faircash }} based upon the most similar comparable property shown above. Accordingly, the assessed value of {{ address }} should be reduced.</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THE NEIGHBORHOOD LAW CLINIC</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University of Wisconsin Law School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975 Bascom Mall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Madison, WI 53706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nlc@law.wisc.edu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(608)265-2441</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tmhenson@wisc.edu</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(608)262-5346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TEMPLATE 3: USE WHEN COMPS AND EVIDENCE OF PROP DAMAGE AND/OR ECON OBS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b w:val="false"/>
          <w:b w:val="false"/>
          <w:bCs w:val="false"/>
        </w:rPr>
      </w:pPr>
      <w:r>
        <w:rPr>
          <w:rFonts w:ascii="Times New Roman" w:hAnsi="Times New Roman"/>
          <w:b w:val="false"/>
          <w:bCs w:val="false"/>
          <w:sz w:val="24"/>
          <w:szCs w:val="24"/>
        </w:rPr>
        <w:t>The City of Milwaukee should reduce {{ address }}’s assessed value because recent arm’s-length sale prices of comparable properties show that this property’s assessed value is inaccurate. Wisconsin jurisdictions are required to assess residential properties at 100% of their fair market value, in accordance with Wisconsin Statute § 70.32 and the Wisconsin Property Assessment Manual (“202</w:t>
      </w:r>
      <w:r>
        <w:rPr>
          <w:rFonts w:ascii="Times New Roman" w:hAnsi="Times New Roman"/>
          <w:b w:val="false"/>
          <w:bCs w:val="false"/>
          <w:sz w:val="24"/>
          <w:szCs w:val="24"/>
        </w:rPr>
        <w:t>5</w:t>
      </w:r>
      <w:r>
        <w:rPr>
          <w:rFonts w:ascii="Times New Roman" w:hAnsi="Times New Roman"/>
          <w:b w:val="false"/>
          <w:bCs w:val="false"/>
          <w:sz w:val="24"/>
          <w:szCs w:val="24"/>
        </w:rPr>
        <w:t xml:space="preserve"> Manual”). </w:t>
      </w:r>
    </w:p>
    <w:p>
      <w:pPr>
        <w:pStyle w:val="LOnormal"/>
        <w:spacing w:lineRule="auto" w:line="252"/>
        <w:rPr>
          <w:b w:val="false"/>
          <w:b w:val="false"/>
          <w:bCs w:val="false"/>
        </w:rPr>
      </w:pPr>
      <w:r>
        <w:rPr>
          <w:b w:val="false"/>
          <w:bCs w:val="false"/>
        </w:rPr>
      </w:r>
    </w:p>
    <w:p>
      <w:pPr>
        <w:pStyle w:val="LOnormal"/>
        <w:spacing w:lineRule="auto" w:line="252"/>
        <w:rPr>
          <w:b w:val="false"/>
          <w:b w:val="false"/>
          <w:bCs w:val="false"/>
        </w:rPr>
      </w:pPr>
      <w:r>
        <w:rPr>
          <w:rFonts w:ascii="Times New Roman" w:hAnsi="Times New Roman"/>
          <w:b w:val="false"/>
          <w:bCs w:val="false"/>
          <w:sz w:val="24"/>
          <w:szCs w:val="24"/>
        </w:rPr>
        <w:t>To estimate the fair market value of a property that was not recently subject to arm’s-length sale, the best evidence of value is recent arm’s-length sales of reasonably comparable properties (See Wis. Stat. § 70.32; 202</w:t>
      </w:r>
      <w:r>
        <w:rPr>
          <w:rFonts w:ascii="Times New Roman" w:hAnsi="Times New Roman"/>
          <w:b w:val="false"/>
          <w:bCs w:val="false"/>
          <w:sz w:val="24"/>
          <w:szCs w:val="24"/>
        </w:rPr>
        <w:t>5</w:t>
      </w:r>
      <w:r>
        <w:rPr>
          <w:rFonts w:ascii="Times New Roman" w:hAnsi="Times New Roman"/>
          <w:b w:val="false"/>
          <w:bCs w:val="false"/>
          <w:sz w:val="24"/>
          <w:szCs w:val="24"/>
        </w:rPr>
        <w:t xml:space="preserve"> Manual at 9-23). In developing value through this approach, the assessor looks not to the number of sales, but to how comparable the sales are to the subject property (202</w:t>
      </w:r>
      <w:r>
        <w:rPr>
          <w:rFonts w:ascii="Times New Roman" w:hAnsi="Times New Roman"/>
          <w:b w:val="false"/>
          <w:bCs w:val="false"/>
          <w:sz w:val="24"/>
          <w:szCs w:val="24"/>
        </w:rPr>
        <w:t>5</w:t>
      </w:r>
      <w:r>
        <w:rPr>
          <w:rFonts w:ascii="Times New Roman" w:hAnsi="Times New Roman"/>
          <w:b w:val="false"/>
          <w:bCs w:val="false"/>
          <w:sz w:val="24"/>
          <w:szCs w:val="24"/>
        </w:rPr>
        <w:t xml:space="preserve"> Manual at 9-24). The more similar the comparable property, the more reliably the sale price indicates the subject property’s value (202</w:t>
      </w:r>
      <w:r>
        <w:rPr>
          <w:rFonts w:ascii="Times New Roman" w:hAnsi="Times New Roman"/>
          <w:b w:val="false"/>
          <w:bCs w:val="false"/>
          <w:sz w:val="24"/>
          <w:szCs w:val="24"/>
        </w:rPr>
        <w:t>5</w:t>
      </w:r>
      <w:r>
        <w:rPr>
          <w:rFonts w:ascii="Times New Roman" w:hAnsi="Times New Roman"/>
          <w:b w:val="false"/>
          <w:bCs w:val="false"/>
          <w:sz w:val="24"/>
          <w:szCs w:val="24"/>
        </w:rPr>
        <w:t xml:space="preserve"> Manual at 9-2</w:t>
      </w:r>
      <w:r>
        <w:rPr>
          <w:rFonts w:ascii="Times New Roman" w:hAnsi="Times New Roman"/>
          <w:b w:val="false"/>
          <w:bCs w:val="false"/>
          <w:sz w:val="24"/>
          <w:szCs w:val="24"/>
        </w:rPr>
        <w:t>4</w:t>
      </w:r>
      <w:r>
        <w:rPr>
          <w:rFonts w:ascii="Times New Roman" w:hAnsi="Times New Roman"/>
          <w:b w:val="false"/>
          <w:bCs w:val="false"/>
          <w:sz w:val="24"/>
          <w:szCs w:val="24"/>
        </w:rPr>
        <w:t>). Indicators of comparison include similarities in location, size, style, condition, age, and other physical features (202</w:t>
      </w:r>
      <w:r>
        <w:rPr>
          <w:rFonts w:ascii="Times New Roman" w:hAnsi="Times New Roman"/>
          <w:b w:val="false"/>
          <w:bCs w:val="false"/>
          <w:sz w:val="24"/>
          <w:szCs w:val="24"/>
        </w:rPr>
        <w:t>5</w:t>
      </w:r>
      <w:r>
        <w:rPr>
          <w:rFonts w:ascii="Times New Roman" w:hAnsi="Times New Roman"/>
          <w:b w:val="false"/>
          <w:bCs w:val="false"/>
          <w:sz w:val="24"/>
          <w:szCs w:val="24"/>
        </w:rPr>
        <w:t xml:space="preserve"> Manual at 9-24). </w:t>
      </w:r>
    </w:p>
    <w:p>
      <w:pPr>
        <w:pStyle w:val="LOnormal"/>
        <w:spacing w:lineRule="auto" w:line="252"/>
        <w:rPr>
          <w:b w:val="false"/>
          <w:b w:val="false"/>
          <w:bCs w:val="false"/>
        </w:rPr>
      </w:pPr>
      <w:r>
        <w:rPr>
          <w:b w:val="false"/>
          <w:bCs w:val="false"/>
        </w:rPr>
      </w:r>
    </w:p>
    <w:p>
      <w:pPr>
        <w:pStyle w:val="LOnormal"/>
        <w:spacing w:lineRule="auto" w:line="252"/>
        <w:rPr>
          <w:b w:val="false"/>
          <w:b w:val="false"/>
          <w:bCs w:val="false"/>
        </w:rPr>
      </w:pPr>
      <w:r>
        <w:rPr>
          <w:rFonts w:ascii="Times New Roman" w:hAnsi="Times New Roman"/>
          <w:b w:val="false"/>
          <w:bCs w:val="false"/>
          <w:sz w:val="24"/>
          <w:szCs w:val="24"/>
        </w:rPr>
        <w:t>Relevant characteristics for {{ address }}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628"/>
        <w:gridCol w:w="1068"/>
        <w:gridCol w:w="1393"/>
        <w:gridCol w:w="913"/>
        <w:gridCol w:w="730"/>
        <w:gridCol w:w="996"/>
        <w:gridCol w:w="816"/>
        <w:gridCol w:w="815"/>
      </w:tblGrid>
      <w:tr>
        <w:trPr>
          <w:trHeight w:val="625" w:hRule="atLeast"/>
        </w:trPr>
        <w:tc>
          <w:tcPr>
            <w:tcW w:w="26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2628"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0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3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9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9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1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.building_type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 address }}’s market value, one must look at the most similar comparable property. 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226"/>
        <w:gridCol w:w="668"/>
        <w:gridCol w:w="730"/>
        <w:gridCol w:w="1074"/>
        <w:gridCol w:w="660"/>
        <w:gridCol w:w="981"/>
        <w:gridCol w:w="665"/>
        <w:gridCol w:w="730"/>
        <w:gridCol w:w="997"/>
        <w:gridCol w:w="815"/>
        <w:gridCol w:w="812"/>
      </w:tblGrid>
      <w:tr>
        <w:trPr>
          <w:trHeight w:val="625" w:hRule="atLeast"/>
        </w:trPr>
        <w:tc>
          <w:tcPr>
            <w:tcW w:w="1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0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66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9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66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12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6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0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66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98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66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99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1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c>
          <w:tcPr>
            <w:tcW w:w="81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primary.building_type}}</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Together with the most comparable property, the table below lists {{ comparables_count }} additional comparable properties sold between January 1, 202</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3</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xml:space="preserve"> and January 1, 202</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5</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The comparable properties have an average fair market value of {{ contention_faircash2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988"/>
        <w:gridCol w:w="634"/>
        <w:gridCol w:w="716"/>
        <w:gridCol w:w="900"/>
        <w:gridCol w:w="724"/>
        <w:gridCol w:w="1263"/>
        <w:gridCol w:w="902"/>
        <w:gridCol w:w="713"/>
        <w:gridCol w:w="1088"/>
        <w:gridCol w:w="626"/>
        <w:gridCol w:w="804"/>
      </w:tblGrid>
      <w:tr>
        <w:trPr>
          <w:trHeight w:val="625" w:hRule="atLeast"/>
        </w:trPr>
        <w:tc>
          <w:tcPr>
            <w:tcW w:w="9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2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0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62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93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9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63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71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2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90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7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62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c>
          <w:tcPr>
            <w:tcW w:w="8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item.building_type }}</w:t>
            </w:r>
          </w:p>
        </w:tc>
      </w:tr>
      <w:tr>
        <w:trPr>
          <w:trHeight w:val="576" w:hRule="atLeast"/>
        </w:trPr>
        <w:tc>
          <w:tcPr>
            <w:tcW w:w="9358" w:type="dxa"/>
            <w:gridSpan w:val="11"/>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LOnormal"/>
        <w:spacing w:lineRule="auto" w:line="252"/>
        <w:rPr>
          <w:rFonts w:ascii="Times New Roman" w:hAnsi="Times New Roman"/>
          <w:sz w:val="24"/>
          <w:szCs w:val="24"/>
        </w:rPr>
      </w:pP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3A: USE WHEN ARGUING AV SHOULD BE LOWER THAN MOST SIMILAR COMP</w:t>
      </w:r>
    </w:p>
    <w:p>
      <w:pPr>
        <w:pStyle w:val="LOnormal"/>
        <w:spacing w:lineRule="auto" w:line="252"/>
        <w:rPr>
          <w:rFonts w:ascii="Times New Roman" w:hAnsi="Times New Roman"/>
          <w:sz w:val="24"/>
          <w:szCs w:val="24"/>
        </w:rPr>
      </w:pPr>
      <w:r>
        <w:rPr>
          <w:rFonts w:ascii="Times New Roman" w:hAnsi="Times New Roman"/>
          <w:b/>
          <w:bCs/>
          <w:sz w:val="24"/>
          <w:szCs w:val="24"/>
        </w:rPr>
        <w:t>[Argument: The property’s significant depreciation warrants an assessed value reduction beyond the most similar property’s sale price. ]</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The City of Milwaukee should further reduce the assessed value of {{ address }} due to structural damage, deferred maintenance, and/or economic obsolescence that particularly impact the property as of January 1, 202</w:t>
      </w:r>
      <w:r>
        <w:rPr>
          <w:rFonts w:ascii="Times New Roman" w:hAnsi="Times New Roman"/>
          <w:sz w:val="24"/>
          <w:szCs w:val="24"/>
        </w:rPr>
        <w:t>5</w:t>
      </w:r>
      <w:r>
        <w:rPr>
          <w:rFonts w:ascii="Times New Roman" w:hAnsi="Times New Roman"/>
          <w:sz w:val="24"/>
          <w:szCs w:val="24"/>
        </w:rPr>
        <w:t xml:space="preserve">. When valuing real property, assessors are required to determine the impact of the degree of depreciation on the property’s value </w:t>
      </w:r>
      <w:r>
        <w:rPr>
          <w:rFonts w:ascii="Times New Roman" w:hAnsi="Times New Roman"/>
          <w:sz w:val="24"/>
          <w:szCs w:val="24"/>
        </w:rPr>
        <w:t>(</w:t>
      </w:r>
      <w:r>
        <w:rPr>
          <w:rFonts w:ascii="Times New Roman" w:hAnsi="Times New Roman"/>
          <w:sz w:val="24"/>
          <w:szCs w:val="24"/>
        </w:rPr>
        <w:t>202</w:t>
      </w:r>
      <w:r>
        <w:rPr>
          <w:rFonts w:ascii="Times New Roman" w:hAnsi="Times New Roman"/>
          <w:sz w:val="24"/>
          <w:szCs w:val="24"/>
        </w:rPr>
        <w:t>5</w:t>
      </w:r>
      <w:r>
        <w:rPr>
          <w:rFonts w:ascii="Times New Roman" w:hAnsi="Times New Roman"/>
          <w:sz w:val="24"/>
          <w:szCs w:val="24"/>
        </w:rPr>
        <w:t xml:space="preserve"> Manual Vol. II, 6-1, </w:t>
      </w:r>
      <w:r>
        <w:rPr>
          <w:rFonts w:ascii="Times New Roman" w:hAnsi="Times New Roman"/>
          <w:sz w:val="24"/>
          <w:szCs w:val="24"/>
        </w:rPr>
        <w:t>2)</w:t>
      </w:r>
      <w:r>
        <w:rPr>
          <w:rFonts w:ascii="Times New Roman" w:hAnsi="Times New Roman"/>
          <w:sz w:val="24"/>
          <w:szCs w:val="24"/>
        </w:rPr>
        <w:t xml:space="preserve">. Such depreciation is caused by factors including structural damage, deferred maintenance, and economic obsolescence. While the most similar comparable property sale price serves as a valuation anchor, the subject property’s condition rating fails to account for structural damage, deferred maintenance, and/or neighborhood conditions that impact the property, warranting further reduction of the assessed 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w:t>
      </w:r>
      <w:r>
        <w:rPr>
          <w:rFonts w:ascii="Times New Roman" w:hAnsi="Times New Roman"/>
          <w:sz w:val="24"/>
          <w:szCs w:val="24"/>
        </w:rPr>
        <w:t>5</w:t>
      </w:r>
      <w:r>
        <w:rPr>
          <w:rFonts w:ascii="Times New Roman" w:hAnsi="Times New Roman"/>
          <w:sz w:val="24"/>
          <w:szCs w:val="24"/>
        </w:rPr>
        <w:t xml:space="preserve"> warrants [condition change, and/or argue for lower value than lowest comp]. Structural damages include: [ Describe current damages as of January 1, 202</w:t>
      </w:r>
      <w:r>
        <w:rPr>
          <w:rFonts w:ascii="Times New Roman" w:hAnsi="Times New Roman"/>
          <w:sz w:val="24"/>
          <w:szCs w:val="24"/>
        </w:rPr>
        <w:t>5</w:t>
      </w:r>
      <w:r>
        <w:rPr>
          <w:rFonts w:ascii="Times New Roman" w:hAnsi="Times New Roman"/>
          <w:sz w:val="24"/>
          <w:szCs w:val="24"/>
        </w:rPr>
        <w:t>, AND/OR identify a structure or feature (ex garage that a tree fell on) that has been removed as of January 1, 202</w:t>
      </w:r>
      <w:r>
        <w:rPr>
          <w:rFonts w:ascii="Times New Roman" w:hAnsi="Times New Roman"/>
          <w:sz w:val="24"/>
          <w:szCs w:val="24"/>
        </w:rPr>
        <w:t>5</w:t>
      </w:r>
      <w:r>
        <w:rPr>
          <w:rFonts w:ascii="Times New Roman" w:hAnsi="Times New Roman"/>
          <w:sz w:val="24"/>
          <w:szCs w:val="24"/>
        </w:rPr>
        <w:t>].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w:t>
      </w:r>
      <w:r>
        <w:rPr>
          <w:rFonts w:ascii="Times New Roman" w:hAnsi="Times New Roman"/>
          <w:sz w:val="24"/>
          <w:szCs w:val="24"/>
        </w:rPr>
        <w:t>5</w:t>
      </w:r>
      <w:r>
        <w:rPr>
          <w:rFonts w:ascii="Times New Roman" w:hAnsi="Times New Roman"/>
          <w:sz w:val="24"/>
          <w:szCs w:val="24"/>
        </w:rPr>
        <w:t xml:space="preserve">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factors economic obsolescence warrant a further reduction in {{ address }}’s assessed value. [add neighborhood condition items, These items go beyond general neighborhood conditions that impact all homeowners similarly, and instead have particular impact on {{ address}}. Explain why if not already above]. See Appendix 1 photographs.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assessed value of/condition rating at {{ address }} fails to reflect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In summary, recent arm’s-length sales of reasonably comparable properties show that {{ address }}’s assessed value is inaccurate. The City of Milwaukee assigned {{ address }} an assessed value of {{ target.assessed_value }}. However, the true market value of {{ address }} should be no more than/less than {{ contention_faircash }} based upon the most similar comparable property shown above. Accordingly, the assessed value of {{ address }} should be reduced.</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3B: USE WHEN ARGUING MOST SIMILAR COMP IS LOWER/LOWEST PRICE PROP</w:t>
      </w:r>
    </w:p>
    <w:p>
      <w:pPr>
        <w:pStyle w:val="TextBody"/>
        <w:spacing w:lineRule="auto" w:line="252"/>
        <w:rPr>
          <w:rFonts w:ascii="Times New Roman" w:hAnsi="Times New Roman"/>
          <w:sz w:val="24"/>
          <w:szCs w:val="24"/>
        </w:rPr>
      </w:pPr>
      <w:bookmarkStart w:id="0" w:name="docs-internal-guid-9aa528ee-7fff-de1f-22"/>
      <w:bookmarkEnd w:id="0"/>
      <w:r>
        <w:rPr>
          <w:rFonts w:ascii="Times New Roman" w:hAnsi="Times New Roman"/>
          <w:b/>
          <w:bCs/>
          <w:i w:val="false"/>
          <w:caps w:val="false"/>
          <w:smallCaps w:val="false"/>
          <w:strike w:val="false"/>
          <w:dstrike w:val="false"/>
          <w:color w:val="000000"/>
          <w:sz w:val="24"/>
          <w:szCs w:val="24"/>
          <w:u w:val="none"/>
          <w:effect w:val="none"/>
          <w:shd w:fill="auto" w:val="clear"/>
        </w:rPr>
        <w:t>[Argument: The subject property’s significant depreciation makes it most similar  to the lowest-priced reasonably comparable sale. ]</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t xml:space="preserve">While the fair market values of the comparable properties above range from [lowest to highest], the sale price of {{ primary.street_number }} {{ primary.street_name }} most accurately reflects the value that the owner of {{ address }} could obtain in an arm’s-length transaction. When valuing real property, assessors are required to determine the impact of the degree of depreciation on the property’s value </w:t>
      </w:r>
      <w:r>
        <w:rPr>
          <w:rFonts w:ascii="Times New Roman" w:hAnsi="Times New Roman"/>
          <w:sz w:val="24"/>
          <w:szCs w:val="24"/>
        </w:rPr>
        <w:t>(</w:t>
      </w:r>
      <w:r>
        <w:rPr>
          <w:rFonts w:ascii="Times New Roman" w:hAnsi="Times New Roman"/>
          <w:sz w:val="24"/>
          <w:szCs w:val="24"/>
        </w:rPr>
        <w:t>202</w:t>
      </w:r>
      <w:r>
        <w:rPr>
          <w:rFonts w:ascii="Times New Roman" w:hAnsi="Times New Roman"/>
          <w:sz w:val="24"/>
          <w:szCs w:val="24"/>
        </w:rPr>
        <w:t>5</w:t>
      </w:r>
      <w:r>
        <w:rPr>
          <w:rFonts w:ascii="Times New Roman" w:hAnsi="Times New Roman"/>
          <w:sz w:val="24"/>
          <w:szCs w:val="24"/>
        </w:rPr>
        <w:t xml:space="preserve"> Manual Vol. II, 6-1, </w:t>
      </w:r>
      <w:r>
        <w:rPr>
          <w:rFonts w:ascii="Times New Roman" w:hAnsi="Times New Roman"/>
          <w:sz w:val="24"/>
          <w:szCs w:val="24"/>
        </w:rPr>
        <w:t>2)</w:t>
      </w:r>
      <w:r>
        <w:rPr>
          <w:rFonts w:ascii="Times New Roman" w:hAnsi="Times New Roman"/>
          <w:sz w:val="24"/>
          <w:szCs w:val="24"/>
        </w:rPr>
        <w:t>. Such depreciation is caused by factors including structural damage, deferred maintenance, and economic obsolescence. These are not fully accounted for in the subject property’s current assessed value. When incorporating these factors, an assessed value of no more than {{ contention_faircash }} is more accurate.</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w:t>
      </w:r>
      <w:r>
        <w:rPr>
          <w:rFonts w:ascii="Times New Roman" w:hAnsi="Times New Roman"/>
          <w:sz w:val="24"/>
          <w:szCs w:val="24"/>
        </w:rPr>
        <w:t>5</w:t>
      </w:r>
      <w:r>
        <w:rPr>
          <w:rFonts w:ascii="Times New Roman" w:hAnsi="Times New Roman"/>
          <w:sz w:val="24"/>
          <w:szCs w:val="24"/>
        </w:rPr>
        <w:t xml:space="preserve"> warrants [condition change, and/or argue for lower value than lowest comp]. Structural damages include: [ Describe current damages as of January 1, 202</w:t>
      </w:r>
      <w:r>
        <w:rPr>
          <w:rFonts w:ascii="Times New Roman" w:hAnsi="Times New Roman"/>
          <w:sz w:val="24"/>
          <w:szCs w:val="24"/>
        </w:rPr>
        <w:t>5</w:t>
      </w:r>
      <w:r>
        <w:rPr>
          <w:rFonts w:ascii="Times New Roman" w:hAnsi="Times New Roman"/>
          <w:sz w:val="24"/>
          <w:szCs w:val="24"/>
        </w:rPr>
        <w:t>, AND/OR identify a structure or feature (ex garage that a tree fell on) that has been removed as of January 1, 202</w:t>
      </w:r>
      <w:r>
        <w:rPr>
          <w:rFonts w:ascii="Times New Roman" w:hAnsi="Times New Roman"/>
          <w:sz w:val="24"/>
          <w:szCs w:val="24"/>
        </w:rPr>
        <w:t>5</w:t>
      </w:r>
      <w:r>
        <w:rPr>
          <w:rFonts w:ascii="Times New Roman" w:hAnsi="Times New Roman"/>
          <w:sz w:val="24"/>
          <w:szCs w:val="24"/>
        </w:rPr>
        <w:t>].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w:t>
      </w:r>
      <w:r>
        <w:rPr>
          <w:rFonts w:ascii="Times New Roman" w:hAnsi="Times New Roman"/>
          <w:sz w:val="24"/>
          <w:szCs w:val="24"/>
        </w:rPr>
        <w:t>5</w:t>
      </w:r>
      <w:r>
        <w:rPr>
          <w:rFonts w:ascii="Times New Roman" w:hAnsi="Times New Roman"/>
          <w:sz w:val="24"/>
          <w:szCs w:val="24"/>
        </w:rPr>
        <w:t xml:space="preserve">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economic obsolescence warrant a further reduction in {{ address }}’s assessed value. [add neighborhood condition items. These items go beyond general neighborhood conditions that impact all homeowners similarly, and instead have particular impact on {{ address }}. Explain why if not already above]. See Appendix 1 photographs.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In summary, recent arm’s-length sales of reasonably comparable properties show that {{ address }}’s assessed value is inaccurate. The City of Milwaukee assigned {{ address }} an assessed value of {{ target.assessed_value}}. However, the true market value of {{ address }} should be no more than/less than {{ contention_faircash }} based upon the most similar comparable property shown above. Accordingly, the assessed value of {{ address }} should be reduced.</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THE NEIGHBORHOOD LAW CLINIC</w:t>
      </w:r>
    </w:p>
    <w:p>
      <w:pPr>
        <w:pStyle w:val="LOnormal"/>
        <w:spacing w:lineRule="auto" w:line="252"/>
        <w:rPr>
          <w:rFonts w:ascii="Times New Roman" w:hAnsi="Times New Roman"/>
          <w:sz w:val="24"/>
          <w:szCs w:val="24"/>
        </w:rPr>
      </w:pPr>
      <w:r>
        <w:rPr>
          <w:rFonts w:ascii="Times New Roman" w:hAnsi="Times New Roman"/>
          <w:sz w:val="24"/>
          <w:szCs w:val="24"/>
        </w:rPr>
        <w:t>University of Wisconsin Law School</w:t>
      </w:r>
    </w:p>
    <w:p>
      <w:pPr>
        <w:pStyle w:val="LOnormal"/>
        <w:spacing w:lineRule="auto" w:line="252"/>
        <w:rPr>
          <w:rFonts w:ascii="Times New Roman" w:hAnsi="Times New Roman"/>
          <w:sz w:val="24"/>
          <w:szCs w:val="24"/>
        </w:rPr>
      </w:pPr>
      <w:r>
        <w:rPr>
          <w:rFonts w:ascii="Times New Roman" w:hAnsi="Times New Roman"/>
          <w:sz w:val="24"/>
          <w:szCs w:val="24"/>
        </w:rPr>
        <w:t>975 Bascom Mall</w:t>
      </w:r>
    </w:p>
    <w:p>
      <w:pPr>
        <w:pStyle w:val="LOnormal"/>
        <w:spacing w:lineRule="auto" w:line="252"/>
        <w:rPr>
          <w:rFonts w:ascii="Times New Roman" w:hAnsi="Times New Roman"/>
          <w:sz w:val="24"/>
          <w:szCs w:val="24"/>
        </w:rPr>
      </w:pPr>
      <w:r>
        <w:rPr>
          <w:rFonts w:ascii="Times New Roman" w:hAnsi="Times New Roman"/>
          <w:sz w:val="24"/>
          <w:szCs w:val="24"/>
        </w:rPr>
        <w:t>Madison, WI 53706</w:t>
      </w:r>
    </w:p>
    <w:p>
      <w:pPr>
        <w:pStyle w:val="LOnormal"/>
        <w:spacing w:lineRule="auto" w:line="252"/>
        <w:rPr>
          <w:rFonts w:ascii="Times New Roman" w:hAnsi="Times New Roman"/>
          <w:sz w:val="24"/>
          <w:szCs w:val="24"/>
        </w:rPr>
      </w:pPr>
      <w:r>
        <w:rPr>
          <w:rFonts w:ascii="Times New Roman" w:hAnsi="Times New Roman"/>
          <w:sz w:val="24"/>
          <w:szCs w:val="24"/>
        </w:rPr>
        <w:t xml:space="preserve">nlc@law.wisc.edu </w:t>
      </w:r>
    </w:p>
    <w:p>
      <w:pPr>
        <w:pStyle w:val="LOnormal"/>
        <w:spacing w:lineRule="auto" w:line="252"/>
        <w:rPr>
          <w:rFonts w:ascii="Times New Roman" w:hAnsi="Times New Roman"/>
          <w:sz w:val="24"/>
          <w:szCs w:val="24"/>
        </w:rPr>
      </w:pPr>
      <w:r>
        <w:rPr>
          <w:rFonts w:ascii="Times New Roman" w:hAnsi="Times New Roman"/>
          <w:sz w:val="24"/>
          <w:szCs w:val="24"/>
        </w:rPr>
        <w:t>(608)265-2441</w:t>
      </w:r>
    </w:p>
    <w:p>
      <w:pPr>
        <w:pStyle w:val="LOnormal"/>
        <w:spacing w:lineRule="auto" w:line="252"/>
        <w:rPr>
          <w:rFonts w:ascii="Times New Roman" w:hAnsi="Times New Roman"/>
          <w:sz w:val="24"/>
          <w:szCs w:val="24"/>
        </w:rPr>
      </w:pPr>
      <w:r>
        <w:rPr>
          <w:rFonts w:ascii="Times New Roman" w:hAnsi="Times New Roman"/>
          <w:sz w:val="24"/>
          <w:szCs w:val="24"/>
        </w:rPr>
        <w:t>tmhenson@wisc.edu</w:t>
      </w:r>
    </w:p>
    <w:p>
      <w:pPr>
        <w:pStyle w:val="LOnormal"/>
        <w:spacing w:lineRule="auto" w:line="252"/>
        <w:rPr>
          <w:rFonts w:ascii="Times New Roman" w:hAnsi="Times New Roman"/>
          <w:sz w:val="24"/>
          <w:szCs w:val="24"/>
        </w:rPr>
      </w:pPr>
      <w:r>
        <w:rPr>
          <w:rFonts w:ascii="Times New Roman" w:hAnsi="Times New Roman"/>
          <w:sz w:val="24"/>
          <w:szCs w:val="24"/>
        </w:rPr>
        <w:t>(608)262-5346</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b w:val="false"/>
          <w:b w:val="false"/>
          <w:bCs w:val="false"/>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3"/>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Application>LibreOffice/7.3.7.2$Linux_X86_64 LibreOffice_project/30$Build-2</Application>
  <AppVersion>15.0000</AppVersion>
  <Pages>8</Pages>
  <Words>2167</Words>
  <Characters>12886</Characters>
  <CharactersWithSpaces>14873</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2025-03-27T19:50:15Z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