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 w:eastAsia="Microsoft YaHei"/>
          <w:b/>
          <w:color w:val="1F4D78"/>
          <w:sz w:val="46"/>
        </w:rPr>
        <w:t>电路图智能评价系统</w:t>
      </w:r>
    </w:p>
    <w:p>
      <w:pPr>
        <w:spacing w:before="0" w:after="280"/>
      </w:pPr>
      <w:r>
        <w:rPr>
          <w:rFonts w:ascii="Calibri" w:hAnsi="Calibri" w:eastAsia="Microsoft YaHei"/>
          <w:b/>
          <w:color w:val="2E74B5"/>
          <w:sz w:val="28"/>
        </w:rPr>
        <w:t>当前已完成内容与 EI / SCI 投稿要求</w:t>
      </w:r>
    </w:p>
    <w:p>
      <w:pPr>
        <w:spacing w:before="0" w:after="240"/>
      </w:pPr>
      <w:r>
        <w:rPr>
          <w:rFonts w:ascii="Calibri" w:hAnsi="Calibri" w:eastAsia="Microsoft YaHei"/>
          <w:color w:val="5B6573"/>
          <w:sz w:val="18"/>
        </w:rPr>
        <w:t>编制日期：2026-08-01  |  范围：仅基于代码、模型、实验产物与当前验证状态；不引用发表路线图。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before="20" w:after="20" w:line="27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结论： </w:t>
            </w:r>
            <w:r>
              <w:rPr>
                <w:rFonts w:ascii="Calibri" w:hAnsi="Calibri" w:eastAsia="Microsoft YaHei"/>
                <w:color w:val="1F2937"/>
                <w:sz w:val="21"/>
              </w:rPr>
              <w:t>项目已具备完整视觉管线、数据与可复现实验基础，但当前端到端连线指标与全量复测证据不足，尚不宜直接投稿。建议先达到 EI 期刊的实证要求，再以更强的算法贡献和跨条件验证冲击 SCI/SCIE。</w:t>
            </w:r>
          </w:p>
        </w:tc>
      </w:tr>
    </w:tbl>
    <w:p>
      <w:pPr>
        <w:spacing w:after="20"/>
      </w:pPr>
    </w:p>
    <w:p>
      <w:pPr>
        <w:spacing w:before="320" w:after="120"/>
      </w:pPr>
      <w:r>
        <w:rPr>
          <w:rFonts w:ascii="Calibri" w:hAnsi="Calibri" w:eastAsia="Microsoft YaHei"/>
          <w:b/>
          <w:color w:val="2E74B5"/>
          <w:sz w:val="32"/>
        </w:rPr>
        <w:t>一、目前已完成的内容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200"/>
        <w:gridCol w:w="35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模块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当前已完成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可用于投稿的状态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数据与模型</w:t>
            </w:r>
          </w:p>
        </w:tc>
        <w:tc>
          <w:tcPr>
            <w:tcW w:type="dxa" w:w="420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50 份连线真值、50 份检测结果；检测模型与 CRNN OCR 权重已就绪。</w:t>
            </w:r>
          </w:p>
        </w:tc>
        <w:tc>
          <w:tcPr>
            <w:tcW w:type="dxa" w:w="356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F5A3A"/>
                <w:sz w:val="21"/>
              </w:rPr>
              <w:t>可用，但须固定数据划分并补充 OCR 独立指标。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元件检测</w:t>
            </w:r>
          </w:p>
        </w:tc>
        <w:tc>
          <w:tcPr>
            <w:tcW w:type="dxa" w:w="420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最佳记录：Precision 85.1%，Recall 68.6%，mAP@50 75.3%，mAP@50-95 57.0%。</w:t>
            </w:r>
          </w:p>
        </w:tc>
        <w:tc>
          <w:tcPr>
            <w:tcW w:type="dxa" w:w="356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21"/>
              </w:rPr>
              <w:t>可作为结果表中的独立模块指标。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连线重建</w:t>
            </w:r>
          </w:p>
        </w:tc>
        <w:tc>
          <w:tcPr>
            <w:tcW w:type="dxa" w:w="420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已有骨架、CCL、P2J/JJ、LOS、近端口等路径；历史完整方案记录：PC 30.1%、GA 14.0%、CNA 11.3%。</w:t>
            </w:r>
          </w:p>
        </w:tc>
        <w:tc>
          <w:tcPr>
            <w:tcW w:type="dxa" w:w="356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21"/>
              </w:rPr>
              <w:t>尚不可投稿：需全量复测，并显著改善端口/连通组指标。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实验工程</w:t>
            </w:r>
          </w:p>
        </w:tc>
        <w:tc>
          <w:tcPr>
            <w:tcW w:type="dxa" w:w="420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已加入独立输出目录、配置快照、Git 版本记录、真实消融配置；实验禁用 LLM 与附属图片/文本写入。</w:t>
            </w:r>
          </w:p>
        </w:tc>
        <w:tc>
          <w:tcPr>
            <w:tcW w:type="dxa" w:w="356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F5A3A"/>
                <w:sz w:val="21"/>
              </w:rPr>
              <w:t>已具备可复现基础，仍需生成正式全量结果包。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测试</w:t>
            </w:r>
          </w:p>
        </w:tc>
        <w:tc>
          <w:tcPr>
            <w:tcW w:type="dxa" w:w="420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视觉相关与 phase2 非 LLM 测试 18/18 通过；全量测试中 4 个 phase1 用例因未配置 LLM 凭证失败。</w:t>
            </w:r>
          </w:p>
        </w:tc>
        <w:tc>
          <w:tcPr>
            <w:tcW w:type="dxa" w:w="356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21"/>
              </w:rPr>
              <w:t>视觉论文可不使用 LLM；投稿前应将 LLM 测试标注为外部依赖或隔离。</w:t>
            </w:r>
          </w:p>
        </w:tc>
      </w:tr>
    </w:tbl>
    <w:p>
      <w:pPr>
        <w:spacing w:before="320" w:after="120"/>
      </w:pPr>
      <w:r>
        <w:rPr>
          <w:rFonts w:ascii="Calibri" w:hAnsi="Calibri" w:eastAsia="Microsoft YaHei"/>
          <w:b/>
          <w:color w:val="2E74B5"/>
          <w:sz w:val="32"/>
        </w:rPr>
        <w:t>二、已完成的最新视觉改造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color w:val="1F2937"/>
          <w:sz w:val="21"/>
        </w:rPr>
        <w:t>实验配置全部强制跳过 LLM；实验运行不会触发外部模型接口。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color w:val="1F2937"/>
          <w:sz w:val="21"/>
        </w:rPr>
        <w:t>实验结果写入独立目录，并保存完整配置与 Git 版本；避免覆盖历史 CSV、图表和 benchmark 旁的结果文件。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color w:val="1F2937"/>
          <w:sz w:val="21"/>
        </w:rPr>
        <w:t>新增元件内部遮蔽导线证据图：CCL 与骨架路径可共享该证据，并提供 w/o_Component_Mask 真实消融。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color w:val="1F2937"/>
          <w:sz w:val="21"/>
        </w:rPr>
        <w:t>已保证遮蔽与未遮蔽骨架路径的阈值和缩放顺序一致，避免将预处理差异误解释为算法增益。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color w:val="1F2937"/>
          <w:sz w:val="21"/>
        </w:rPr>
        <w:t>视觉相关与非 LLM 安全评测共 18 项测试通过；单图无 LLM 冒烟运行成功，且未生成附属标注图或文本。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4F4"/>
          </w:tcPr>
          <w:p>
            <w:pPr>
              <w:spacing w:before="20" w:after="20" w:line="274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重要限制： </w:t>
            </w:r>
            <w:r>
              <w:rPr>
                <w:rFonts w:ascii="Calibri" w:hAnsi="Calibri" w:eastAsia="Microsoft YaHei"/>
                <w:color w:val="1F2937"/>
                <w:sz w:val="21"/>
              </w:rPr>
              <w:t>全量视觉基准在本轮 CPU 运行中耗时过长而被安全停止，未生成新的汇总 CSV。因此，不能将上述改造写成“已提升至某一新准确率”；投稿只能使用重新完成后的全量结果。</w:t>
            </w:r>
          </w:p>
        </w:tc>
      </w:tr>
    </w:tbl>
    <w:p>
      <w:pPr>
        <w:spacing w:after="20"/>
      </w:pPr>
    </w:p>
    <w:p>
      <w:pPr>
        <w:spacing w:before="320" w:after="120"/>
      </w:pPr>
      <w:r>
        <w:rPr>
          <w:rFonts w:ascii="Calibri" w:hAnsi="Calibri" w:eastAsia="Microsoft YaHei"/>
          <w:b/>
          <w:color w:val="2E74B5"/>
          <w:sz w:val="32"/>
        </w:rPr>
        <w:t>三、EI 期刊与 SCI/SCIE 投稿前必须完成的工作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30"/>
        <w:gridCol w:w="383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投稿前必须完成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EI 期刊最低要求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SCI/SCIE 进一步要求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贡献定义</w:t>
            </w:r>
          </w:p>
        </w:tc>
        <w:tc>
          <w:tcPr>
            <w:tcW w:type="dxa" w:w="383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给出一个可验证的核心方法：元件遮蔽导线证据、尺度一致骨架重建与拓扑约束图组装。</w:t>
            </w:r>
          </w:p>
        </w:tc>
        <w:tc>
          <w:tcPr>
            <w:tcW w:type="dxa" w:w="383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再增加可泛化的算法贡献，例如端子关键点预测或全局候选边优化。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主实验</w:t>
            </w:r>
          </w:p>
        </w:tc>
        <w:tc>
          <w:tcPr>
            <w:tcW w:type="dxa" w:w="383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锁定测试集，完成 50 张真值图或说明剔除原因；不得以测试集调参。</w:t>
            </w:r>
          </w:p>
        </w:tc>
        <w:tc>
          <w:tcPr>
            <w:tcW w:type="dxa" w:w="383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增加跨绘图者、拍摄角度、光照或外部数据条件验证。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指标</w:t>
            </w:r>
          </w:p>
        </w:tc>
        <w:tc>
          <w:tcPr>
            <w:tcW w:type="dxa" w:w="383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检测 mAP/P/R；OCR CER 与整串准确率；连线 P/R/F1、FP/FN、GA、CNA、耗时。</w:t>
            </w:r>
          </w:p>
        </w:tc>
        <w:tc>
          <w:tcPr>
            <w:tcW w:type="dxa" w:w="383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增加置信区间、统计显著性和复杂度/速度分析。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对比与消融</w:t>
            </w:r>
          </w:p>
        </w:tc>
        <w:tc>
          <w:tcPr>
            <w:tcW w:type="dxa" w:w="383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比较原始规则、CCL、完整方法；逐一去掉骨架、遮蔽、NN 过滤、LOS 等。</w:t>
            </w:r>
          </w:p>
        </w:tc>
        <w:tc>
          <w:tcPr>
            <w:tcW w:type="dxa" w:w="383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与公开方法或可信复现实验做充分比较，并做误差分层分析。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可复现性</w:t>
            </w:r>
          </w:p>
        </w:tc>
        <w:tc>
          <w:tcPr>
            <w:tcW w:type="dxa" w:w="383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发布/说明固定划分、随机种子、命令、依赖版本、模型获得方式与失败案例。</w:t>
            </w:r>
          </w:p>
        </w:tc>
        <w:tc>
          <w:tcPr>
            <w:tcW w:type="dxa" w:w="383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最好提供代码、权重或可申请访问的最小复现实验包。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论文呈现</w:t>
            </w:r>
          </w:p>
        </w:tc>
        <w:tc>
          <w:tcPr>
            <w:tcW w:type="dxa" w:w="383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英文摘要、方法图、伪代码、实验表、消融图、局限性与伦理/数据许可说明。</w:t>
            </w:r>
          </w:p>
        </w:tc>
        <w:tc>
          <w:tcPr>
            <w:tcW w:type="dxa" w:w="3830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强化问题重要性、理论/方法差异和国际相关工作覆盖。</w:t>
            </w:r>
          </w:p>
        </w:tc>
      </w:tr>
    </w:tbl>
    <w:p>
      <w:pPr>
        <w:spacing w:before="320" w:after="120"/>
      </w:pPr>
      <w:r>
        <w:rPr>
          <w:rFonts w:ascii="Calibri" w:hAnsi="Calibri" w:eastAsia="Microsoft YaHei"/>
          <w:b/>
          <w:color w:val="2E74B5"/>
          <w:sz w:val="32"/>
        </w:rPr>
        <w:t>四、建议的投稿门槛与当前判断</w:t>
      </w:r>
    </w:p>
    <w:p>
      <w:pPr>
        <w:spacing w:before="0" w:after="120" w:line="278" w:lineRule="auto"/>
      </w:pPr>
      <w:r>
        <w:rPr>
          <w:rFonts w:ascii="Calibri" w:hAnsi="Calibri" w:eastAsia="Microsoft YaHei"/>
          <w:color w:val="1F2937"/>
          <w:sz w:val="21"/>
        </w:rPr>
        <w:t>EI 期刊：完成固定测试集的全量无 LLM 实验、独立 OCR 指标、可信消融、对比基线和可复现实验包后，可开始匹配工程视觉、智能制造或电子设计自动化方向期刊。</w:t>
      </w:r>
    </w:p>
    <w:p>
      <w:pPr>
        <w:spacing w:before="0" w:after="120" w:line="278" w:lineRule="auto"/>
      </w:pPr>
      <w:r>
        <w:rPr>
          <w:rFonts w:ascii="Calibri" w:hAnsi="Calibri" w:eastAsia="Microsoft YaHei"/>
          <w:color w:val="1F2937"/>
          <w:sz w:val="21"/>
        </w:rPr>
        <w:t>SCI/SCIE：除 EI 的全部要求外，当前“遮蔽 + 规则优化”还不够。需要形成一个更强、可泛化的核心贡献，例如端子关键点预测、实例分割导线掩码，或带电路约束的全局图优化，并在跨绘图者/跨采集条件上验证。</w:t>
      </w:r>
    </w:p>
    <w:p>
      <w:pPr>
        <w:spacing w:before="0" w:after="120" w:line="278" w:lineRule="auto"/>
      </w:pPr>
      <w:r>
        <w:rPr>
          <w:rFonts w:ascii="Calibri" w:hAnsi="Calibri" w:eastAsia="Microsoft YaHei"/>
          <w:color w:val="1F2937"/>
          <w:sz w:val="21"/>
        </w:rPr>
        <w:t>当前优先级：先将端口连线 F1、GA、CNA 与 FP/FN 的新旧对比完整跑出并稳定复现；若端口正确率仍接近历史 30.1%，应继续优化连线重建，不建议投稿。</w:t>
      </w:r>
    </w:p>
    <w:p>
      <w:pPr>
        <w:spacing w:before="320" w:after="120"/>
      </w:pPr>
      <w:r>
        <w:rPr>
          <w:rFonts w:ascii="Calibri" w:hAnsi="Calibri" w:eastAsia="Microsoft YaHei"/>
          <w:b/>
          <w:color w:val="2E74B5"/>
          <w:sz w:val="32"/>
        </w:rPr>
        <w:t>五、选刊与合规核验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color w:val="1F2937"/>
          <w:sz w:val="21"/>
        </w:rPr>
        <w:t>EI Compendex 与 SCI/SCIE 是不同检索体系；不能仅凭期刊网站宣传判断收录状态，应在投稿前逐本核验。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color w:val="1F2937"/>
          <w:sz w:val="21"/>
        </w:rPr>
        <w:t>EI 相关期刊应确认同行评审、英文摘要、规律出版、出版伦理与数字保存政策，并确认期刊范围与工程主题匹配。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color w:val="1F2937"/>
          <w:sz w:val="21"/>
        </w:rPr>
        <w:t>SCI/SCIE 期刊需确认其当前 Web of Science 状态、期刊范围、开放获取费用、数据/代码政策、版面与篇幅要求。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color w:val="1F2937"/>
          <w:sz w:val="21"/>
        </w:rPr>
        <w:t>论文中必须如实写出数据许可、人工标注范围、失败案例和局限性；不应对未完成的全量实验作性能承诺。</w:t>
      </w:r>
    </w:p>
    <w:p>
      <w:pPr>
        <w:spacing w:before="320" w:after="120"/>
      </w:pPr>
      <w:r>
        <w:rPr>
          <w:rFonts w:ascii="Calibri" w:hAnsi="Calibri" w:eastAsia="Microsoft YaHei"/>
          <w:b/>
          <w:color w:val="2E74B5"/>
          <w:sz w:val="32"/>
        </w:rPr>
        <w:t>六、参考依据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  <w:color w:val="5B6573"/>
          <w:sz w:val="17"/>
        </w:rPr>
        <w:t>Elsevier Engineering Village. Content policy and selection criteria for Compendex journals: https://www.elsevier.com/products/engineering-village/databases/selection-criteria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  <w:color w:val="5B6573"/>
          <w:sz w:val="17"/>
        </w:rPr>
        <w:t>Clarivate. Editorial selection process for the Web of Science Core Collection: https://clarivate.com/products/scientific-and-academic-research/research-discovery-and-workflow-solutions/web-ofscience-platform/web-of-science-core-collection/editorial-selection-process/editorial-selection-process/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  <w:color w:val="5B6573"/>
          <w:sz w:val="17"/>
        </w:rPr>
        <w:t>Bayer et al. Modular Graph Extraction for Handwritten Circuit Diagram Images (2024): https://arxiv.org/abs/2402.11093</w:t>
      </w:r>
    </w:p>
    <w:p>
      <w:pPr>
        <w:pStyle w:val="ListBullet"/>
        <w:spacing w:before="0" w:after="40" w:line="259" w:lineRule="auto"/>
      </w:pPr>
      <w:r>
        <w:rPr>
          <w:rFonts w:ascii="Calibri" w:hAnsi="Calibri" w:eastAsia="Microsoft YaHei"/>
          <w:color w:val="5B6573"/>
          <w:sz w:val="17"/>
        </w:rPr>
        <w:t>Bayer et al. Instance Segmentation Based Graph Extraction for Handwritten Circuit Diagram Images (2023): https://arxiv.org/abs/2301.03155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color w:val="5B6573"/>
        <w:sz w:val="17"/>
      </w:rPr>
      <w:t>内部工作文档 | 2026-08-01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B6573"/>
        <w:sz w:val="17"/>
      </w:rPr>
      <w:t>电路图智能评价系统 | 投稿准备技术简报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电路图智能评价系统：当前已完成内容与 EI/SCI 投稿要求</dc:title>
  <dc:subject>项目状态与投稿准备清单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