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b w:val="true"/>
          <w:bCs w:val="true"/>
          <w:sz w:val="30"/>
          <w:szCs w:val="30"/>
        </w:rPr>
      </w:pPr>
      <w:r>
        <w:rPr>
          <w:rFonts w:ascii="微软雅黑" w:hAnsi="微软雅黑" w:eastAsia="微软雅黑"/>
          <w:b w:val="true"/>
          <w:bCs w:val="true"/>
          <w:sz w:val="30"/>
          <w:szCs w:val="30"/>
        </w:rPr>
        <w:t>用户界面设计：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登录界面：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285376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rcRect l="1589" t="2108" r="2323" b="48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注册界面：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44479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首页：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6586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用户中心：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35402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管理中心：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219448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购物中心：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48722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购物车：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5943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详情页：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57800" cy="41148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5874" w:h="22677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