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系统流程图：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6784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用户数据流图：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2222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管理员数据流图：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9770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实体-联系图：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4968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订单</w:t>
      </w:r>
      <w:r>
        <w:rPr>
          <w:rFonts w:ascii="微软雅黑" w:hAnsi="微软雅黑" w:eastAsia="微软雅黑"/>
          <w:sz w:val="24"/>
          <w:szCs w:val="24"/>
        </w:rPr>
        <w:t>状态</w:t>
      </w:r>
      <w:r>
        <w:rPr>
          <w:rFonts w:ascii="微软雅黑" w:hAnsi="微软雅黑" w:eastAsia="微软雅黑"/>
          <w:sz w:val="24"/>
          <w:szCs w:val="24"/>
        </w:rPr>
        <w:t>转换</w:t>
      </w:r>
      <w:r>
        <w:rPr>
          <w:rFonts w:ascii="微软雅黑" w:hAnsi="微软雅黑" w:eastAsia="微软雅黑"/>
          <w:sz w:val="24"/>
          <w:szCs w:val="24"/>
        </w:rPr>
        <w:t>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504663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用户状态转换图：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945133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管理员状态转换图：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005972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总体设计--</w:t>
      </w:r>
      <w:r>
        <w:rPr>
          <w:rFonts w:ascii="微软雅黑" w:hAnsi="微软雅黑" w:eastAsia="微软雅黑"/>
          <w:sz w:val="24"/>
          <w:szCs w:val="24"/>
        </w:rPr>
        <w:t>用户子系统结构图：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305300" cy="313372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总</w:t>
      </w:r>
      <w:r>
        <w:rPr>
          <w:rFonts w:ascii="微软雅黑" w:hAnsi="微软雅黑" w:eastAsia="微软雅黑"/>
          <w:sz w:val="24"/>
          <w:szCs w:val="24"/>
        </w:rPr>
        <w:t>体</w:t>
      </w:r>
      <w:r>
        <w:rPr>
          <w:rFonts w:ascii="微软雅黑" w:hAnsi="微软雅黑" w:eastAsia="微软雅黑"/>
          <w:sz w:val="24"/>
          <w:szCs w:val="24"/>
        </w:rPr>
        <w:t>设计--管理员子系统结构图：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852986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4173" w:h="22677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