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i w:val="0"/>
          <w:sz w:val="28"/>
        </w:rPr>
        <w:t>МИРЭА — Российский технологический университет</w:t>
      </w:r>
    </w:p>
    <w:p>
      <w:pPr>
        <w:spacing w:after="240"/>
        <w:jc w:val="center"/>
      </w:pPr>
      <w:r>
        <w:rPr>
          <w:rFonts w:ascii="Times New Roman" w:hAnsi="Times New Roman"/>
          <w:b w:val="0"/>
          <w:i/>
          <w:sz w:val="28"/>
        </w:rPr>
        <w:t>Институт искусственного интеллекта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sz w:val="30"/>
        </w:rPr>
        <w:t>Текст выступления к защите ВКР</w:t>
      </w:r>
    </w:p>
    <w:p>
      <w:pPr>
        <w:spacing w:after="240"/>
        <w:jc w:val="center"/>
      </w:pPr>
      <w:r>
        <w:rPr>
          <w:rFonts w:ascii="Times New Roman" w:hAnsi="Times New Roman"/>
          <w:b w:val="0"/>
          <w:i/>
          <w:sz w:val="28"/>
        </w:rPr>
        <w:t>Прогнозирование временных рядов за счёт обучаемой декомпозиции и нейросетевых механизмов учёта долгосрочных зависимостей</w:t>
      </w:r>
    </w:p>
    <w:p>
      <w:pPr>
        <w:spacing w:after="120"/>
        <w:jc w:val="left"/>
      </w:pPr>
      <w:r>
        <w:rPr>
          <w:rFonts w:ascii="Times New Roman" w:hAnsi="Times New Roman"/>
          <w:b w:val="0"/>
          <w:i w:val="0"/>
          <w:sz w:val="28"/>
        </w:rPr>
        <w:t>Выполнил: студент группы КМБО-03-22 Лазарев А.К.</w:t>
      </w:r>
    </w:p>
    <w:p>
      <w:pPr>
        <w:spacing w:after="280"/>
        <w:jc w:val="left"/>
      </w:pPr>
      <w:r>
        <w:rPr>
          <w:rFonts w:ascii="Times New Roman" w:hAnsi="Times New Roman"/>
          <w:b w:val="0"/>
          <w:i w:val="0"/>
          <w:sz w:val="28"/>
        </w:rPr>
        <w:t>Научный руководитель: к.ф.-м.н., доцент кафедры ВМ Петрусевич Д.А.</w:t>
      </w:r>
    </w:p>
    <w:p>
      <w:pPr>
        <w:spacing w:after="80"/>
        <w:jc w:val="left"/>
      </w:pPr>
      <w:r>
        <w:rPr>
          <w:rFonts w:ascii="Times New Roman" w:hAnsi="Times New Roman"/>
          <w:b/>
          <w:i w:val="0"/>
          <w:sz w:val="30"/>
        </w:rPr>
        <w:t>Рекомендуемое распределение времени</w:t>
      </w:r>
    </w:p>
    <w:p>
      <w:pPr>
        <w:spacing w:after="120"/>
        <w:jc w:val="left"/>
      </w:pPr>
      <w:r>
        <w:rPr>
          <w:rFonts w:ascii="Times New Roman" w:hAnsi="Times New Roman"/>
          <w:b w:val="0"/>
          <w:i w:val="0"/>
          <w:sz w:val="28"/>
        </w:rPr>
        <w:t>Общая длительность выступления — около 7 минут.</w:t>
      </w:r>
    </w:p>
    <w:p>
      <w:pPr>
        <w:spacing w:after="40"/>
        <w:jc w:val="left"/>
      </w:pPr>
      <w:r>
        <w:rPr>
          <w:rFonts w:ascii="Times New Roman" w:hAnsi="Times New Roman"/>
          <w:b w:val="0"/>
          <w:i w:val="0"/>
          <w:sz w:val="28"/>
        </w:rPr>
        <w:t>— Слайд 1 (титульный) — 15 секунд.</w:t>
      </w:r>
    </w:p>
    <w:p>
      <w:pPr>
        <w:spacing w:after="40"/>
        <w:jc w:val="left"/>
      </w:pPr>
      <w:r>
        <w:rPr>
          <w:rFonts w:ascii="Times New Roman" w:hAnsi="Times New Roman"/>
          <w:b w:val="0"/>
          <w:i w:val="0"/>
          <w:sz w:val="28"/>
        </w:rPr>
        <w:t>— Слайды 2–3 (актуальность, цель, модели и данные) — 1 минута.</w:t>
      </w:r>
    </w:p>
    <w:p>
      <w:pPr>
        <w:spacing w:after="40"/>
        <w:jc w:val="left"/>
      </w:pPr>
      <w:r>
        <w:rPr>
          <w:rFonts w:ascii="Times New Roman" w:hAnsi="Times New Roman"/>
          <w:b w:val="0"/>
          <w:i w:val="0"/>
          <w:sz w:val="28"/>
        </w:rPr>
        <w:t>— Слайд 4 (методология) — 40 секунд.</w:t>
      </w:r>
    </w:p>
    <w:p>
      <w:pPr>
        <w:spacing w:after="40"/>
        <w:jc w:val="left"/>
      </w:pPr>
      <w:r>
        <w:rPr>
          <w:rFonts w:ascii="Times New Roman" w:hAnsi="Times New Roman"/>
          <w:b w:val="0"/>
          <w:i w:val="0"/>
          <w:sz w:val="28"/>
        </w:rPr>
        <w:t>— Слайды 5–6 (прямое прогнозирование, длина ряда) — 1 минута 30 секунд.</w:t>
      </w:r>
    </w:p>
    <w:p>
      <w:pPr>
        <w:spacing w:after="40"/>
        <w:jc w:val="left"/>
      </w:pPr>
      <w:r>
        <w:rPr>
          <w:rFonts w:ascii="Times New Roman" w:hAnsi="Times New Roman"/>
          <w:b w:val="0"/>
          <w:i w:val="0"/>
          <w:sz w:val="28"/>
        </w:rPr>
        <w:t>— Слайды 7–8 (предобучение) — 1 минута 30 секунд.</w:t>
      </w:r>
    </w:p>
    <w:p>
      <w:pPr>
        <w:spacing w:after="40"/>
        <w:jc w:val="left"/>
      </w:pPr>
      <w:r>
        <w:rPr>
          <w:rFonts w:ascii="Times New Roman" w:hAnsi="Times New Roman"/>
          <w:b w:val="0"/>
          <w:i w:val="0"/>
          <w:sz w:val="28"/>
        </w:rPr>
        <w:t>— Слайд 9 (анализ отдельных рядов) — 45 секунд.</w:t>
      </w:r>
    </w:p>
    <w:p>
      <w:pPr>
        <w:spacing w:after="40"/>
        <w:jc w:val="left"/>
      </w:pPr>
      <w:r>
        <w:rPr>
          <w:rFonts w:ascii="Times New Roman" w:hAnsi="Times New Roman"/>
          <w:b w:val="0"/>
          <w:i w:val="0"/>
          <w:sz w:val="28"/>
        </w:rPr>
        <w:t>— Слайд 10 (итеративное прогнозирование) — 40 секунд.</w:t>
      </w:r>
    </w:p>
    <w:p>
      <w:pPr>
        <w:spacing w:after="40"/>
        <w:jc w:val="left"/>
      </w:pPr>
      <w:r>
        <w:rPr>
          <w:rFonts w:ascii="Times New Roman" w:hAnsi="Times New Roman"/>
          <w:b w:val="0"/>
          <w:i w:val="0"/>
          <w:sz w:val="28"/>
        </w:rPr>
        <w:t>— Слайд 11 (выводы) — 50 секунд.</w:t>
      </w:r>
    </w:p>
    <w:p>
      <w:pPr>
        <w:spacing w:after="40"/>
        <w:jc w:val="left"/>
      </w:pPr>
      <w:r>
        <w:rPr>
          <w:rFonts w:ascii="Times New Roman" w:hAnsi="Times New Roman"/>
          <w:b w:val="0"/>
          <w:i w:val="0"/>
          <w:sz w:val="28"/>
        </w:rPr>
        <w:t>— Слайд 12 (заключение) — 10 секунд.</w:t>
      </w:r>
    </w:p>
    <w:p>
      <w:pPr>
        <w:spacing w:after="200"/>
        <w:jc w:val="left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after="80"/>
        <w:jc w:val="left"/>
      </w:pPr>
      <w:r>
        <w:rPr>
          <w:rFonts w:ascii="Times New Roman" w:hAnsi="Times New Roman"/>
          <w:b/>
          <w:i w:val="0"/>
          <w:sz w:val="30"/>
        </w:rPr>
        <w:t>Текст по слайдам</w:t>
      </w:r>
    </w:p>
    <w:p>
      <w:pPr>
        <w:spacing w:after="80"/>
        <w:jc w:val="left"/>
      </w:pPr>
      <w:r>
        <w:rPr>
          <w:rFonts w:ascii="Times New Roman" w:hAnsi="Times New Roman"/>
          <w:b/>
          <w:i w:val="0"/>
          <w:sz w:val="28"/>
        </w:rPr>
        <w:t>Слайд 1. Титульный слайд</w:t>
      </w:r>
    </w:p>
    <w:p>
      <w:pPr>
        <w:spacing w:after="120"/>
        <w:jc w:val="left"/>
      </w:pPr>
      <w:r>
        <w:rPr>
          <w:rFonts w:ascii="Times New Roman" w:hAnsi="Times New Roman"/>
          <w:b w:val="0"/>
          <w:i w:val="0"/>
          <w:sz w:val="28"/>
        </w:rPr>
        <w:t>Добрый день, уважаемые члены комиссии! Меня зовут Лазарев Александр, и сегодня я представлю выпускную квалификационную работу на тему «Прогнозирование временных рядов за счёт обучаемой декомпозиции и нейросетевых механизмов учёта долгосрочных зависимостей».</w:t>
      </w:r>
    </w:p>
    <w:p>
      <w:pPr>
        <w:spacing w:after="120"/>
        <w:jc w:val="left"/>
      </w:pPr>
      <w:r>
        <w:rPr>
          <w:rFonts w:ascii="Times New Roman" w:hAnsi="Times New Roman"/>
          <w:b w:val="0"/>
          <w:i w:val="0"/>
          <w:sz w:val="28"/>
        </w:rPr>
        <w:t>Работа выполнена под руководством кандидата физико-математических наук, доцента кафедры высшей математики Петрусевича Дениса Андреевича.</w:t>
      </w:r>
    </w:p>
    <w:p>
      <w:pPr>
        <w:spacing w:after="80"/>
        <w:jc w:val="left"/>
      </w:pPr>
      <w:r>
        <w:rPr>
          <w:rFonts w:ascii="Times New Roman" w:hAnsi="Times New Roman"/>
          <w:b/>
          <w:i w:val="0"/>
          <w:sz w:val="28"/>
        </w:rPr>
        <w:t>Слайд 2. Актуальность и цель работы</w:t>
      </w:r>
    </w:p>
    <w:p>
      <w:pPr>
        <w:spacing w:after="120"/>
        <w:jc w:val="left"/>
      </w:pPr>
      <w:r>
        <w:rPr>
          <w:rFonts w:ascii="Times New Roman" w:hAnsi="Times New Roman"/>
          <w:b w:val="0"/>
          <w:i w:val="0"/>
          <w:sz w:val="28"/>
        </w:rPr>
        <w:t>Краткосрочное прогнозирование временных рядов востребовано в задачах планирования: это продажи, трафик, спрос и потребление ресурсов. На практике у таких рядов ограниченная история, шум, сезонность и структурные сдвиги.</w:t>
      </w:r>
    </w:p>
    <w:p>
      <w:pPr>
        <w:spacing w:after="120"/>
        <w:jc w:val="left"/>
      </w:pPr>
      <w:r>
        <w:rPr>
          <w:rFonts w:ascii="Times New Roman" w:hAnsi="Times New Roman"/>
          <w:b w:val="0"/>
          <w:i w:val="0"/>
          <w:sz w:val="28"/>
        </w:rPr>
        <w:t>Главная проблема в том, что универсальной модели не существует: классические статистические методы устойчивы на коротких рядах, а нейросетевые архитектуры лучше работают на длинных и сложных. Современные нейросети включают обучаемую декомпозицию ряда на компоненты и механизмы учёта долгосрочных зависимостей — но открытым остаётся вопрос, дают ли они реальный практический выигрыш.</w:t>
      </w:r>
    </w:p>
    <w:p>
      <w:pPr>
        <w:spacing w:after="120"/>
        <w:jc w:val="left"/>
      </w:pPr>
      <w:r>
        <w:rPr>
          <w:rFonts w:ascii="Times New Roman" w:hAnsi="Times New Roman"/>
          <w:b w:val="0"/>
          <w:i w:val="0"/>
          <w:sz w:val="28"/>
        </w:rPr>
        <w:t>Поэтому цель работы — определить условия, при которых обучаемая декомпозиция и нейросетевые механизмы дают преимущество над классическими подходами, и когда более простые методы предпочтительнее.</w:t>
      </w:r>
    </w:p>
    <w:p>
      <w:pPr>
        <w:spacing w:after="80"/>
        <w:jc w:val="left"/>
      </w:pPr>
      <w:r>
        <w:rPr>
          <w:rFonts w:ascii="Times New Roman" w:hAnsi="Times New Roman"/>
          <w:b/>
          <w:i w:val="0"/>
          <w:sz w:val="28"/>
        </w:rPr>
        <w:t>Слайд 3. Модели и масштаб эксперимента</w:t>
      </w:r>
    </w:p>
    <w:p>
      <w:pPr>
        <w:spacing w:after="120"/>
        <w:jc w:val="left"/>
      </w:pPr>
      <w:r>
        <w:rPr>
          <w:rFonts w:ascii="Times New Roman" w:hAnsi="Times New Roman"/>
          <w:b w:val="0"/>
          <w:i w:val="0"/>
          <w:sz w:val="28"/>
        </w:rPr>
        <w:t>В работе сравнивается одиннадцать моделей. Четыре классические: Seasonal Naive, Auto-ARIMA, ETS и Prophet. И семь нейросетевых: DLinear, N-BEATS, TimesNet, Autoformer, FEDformer, PatchTST и гибридный Helformer, в котором фиксированная декомпозиция Хольта–Уинтерса дополняется нейросетевой коррекцией.</w:t>
      </w:r>
    </w:p>
    <w:p>
      <w:pPr>
        <w:spacing w:after="120"/>
        <w:jc w:val="left"/>
      </w:pPr>
      <w:r>
        <w:rPr>
          <w:rFonts w:ascii="Times New Roman" w:hAnsi="Times New Roman"/>
          <w:b w:val="0"/>
          <w:i w:val="0"/>
          <w:sz w:val="28"/>
        </w:rPr>
        <w:t>Эксперимент проведён на двух эталонных наборах: полном M3 Competition — это 2829 рядов — и подвыборке M4 Competition на 3000 рядов. Всего шесть частотных категорий и почти 5829 рядов. Каждая модель тестировалась в трёх режимах: прямое прогнозирование, итеративное и с предобучением на корпусе рядов.</w:t>
      </w:r>
    </w:p>
    <w:p>
      <w:pPr>
        <w:spacing w:after="80"/>
        <w:jc w:val="left"/>
      </w:pPr>
      <w:r>
        <w:rPr>
          <w:rFonts w:ascii="Times New Roman" w:hAnsi="Times New Roman"/>
          <w:b/>
          <w:i w:val="0"/>
          <w:sz w:val="28"/>
        </w:rPr>
        <w:t>Слайд 4. Методология: декомпозиция и зависимости</w:t>
      </w:r>
    </w:p>
    <w:p>
      <w:pPr>
        <w:spacing w:after="120"/>
        <w:jc w:val="left"/>
      </w:pPr>
      <w:r>
        <w:rPr>
          <w:rFonts w:ascii="Times New Roman" w:hAnsi="Times New Roman"/>
          <w:b w:val="0"/>
          <w:i w:val="0"/>
          <w:sz w:val="28"/>
        </w:rPr>
        <w:t>Ключевых механизмов два. Первый — тип декомпозиции. Фиксированная декомпозиция (ETS, DLinear, Helformer) выделяет тренд и сезонность заранее заданным правилом. Обучаемая декомпозиция (Autoformer, FEDformer, TimesNet) выделяет компоненты сама в ходе обучения. Второй механизм — учёт долгосрочных зависимостей: внимание, свёртки или линейные проекции.</w:t>
      </w:r>
    </w:p>
    <w:p>
      <w:pPr>
        <w:spacing w:after="120"/>
        <w:jc w:val="left"/>
      </w:pPr>
      <w:r>
        <w:rPr>
          <w:rFonts w:ascii="Times New Roman" w:hAnsi="Times New Roman"/>
          <w:b w:val="0"/>
          <w:i w:val="0"/>
          <w:sz w:val="28"/>
        </w:rPr>
        <w:t>Обратите внимание на диаграмму. По оси — три группы моделей по типу декомпозиции, по высоте столбцов — средний sMAPE и MASE. Видно, что в обычном режиме обучения обучаемая декомпозиция в среднем не выигрывает: её столбец даже немного выше, а разброс — самый большой. То есть сама по себе сложная обучаемая декомпозиция не гарантирует выигрыша; всё решает объём данных, к чему мы вернёмся дальше.</w:t>
      </w:r>
    </w:p>
    <w:p>
      <w:pPr>
        <w:spacing w:after="80"/>
        <w:jc w:val="left"/>
      </w:pPr>
      <w:r>
        <w:rPr>
          <w:rFonts w:ascii="Times New Roman" w:hAnsi="Times New Roman"/>
          <w:b/>
          <w:i w:val="0"/>
          <w:sz w:val="28"/>
        </w:rPr>
        <w:t>Слайд 5. Прямое прогнозирование: общая картина</w:t>
      </w:r>
    </w:p>
    <w:p>
      <w:pPr>
        <w:spacing w:after="120"/>
        <w:jc w:val="left"/>
      </w:pPr>
      <w:r>
        <w:rPr>
          <w:rFonts w:ascii="Times New Roman" w:hAnsi="Times New Roman"/>
          <w:b w:val="0"/>
          <w:i w:val="0"/>
          <w:sz w:val="28"/>
        </w:rPr>
        <w:t>Сначала посмотрим общую картину прямого прогнозирования. На графике — эволюция рангов ключевых моделей по шести частотным категориям, слева направо от годовых рядов M3 до ежедневных рядов M4. Чем ниже линия, тем лучше модель: ранг 1 — лучший.</w:t>
      </w:r>
    </w:p>
    <w:p>
      <w:pPr>
        <w:spacing w:after="120"/>
        <w:jc w:val="left"/>
      </w:pPr>
      <w:r>
        <w:rPr>
          <w:rFonts w:ascii="Times New Roman" w:hAnsi="Times New Roman"/>
          <w:b w:val="0"/>
          <w:i w:val="0"/>
          <w:sz w:val="28"/>
        </w:rPr>
        <w:t>Видно главное: классические модели — Auto-ARIMA, ETS и Seasonal Naive — идут по верхней части графика, то есть стабильно лидируют на всех частотах. Среди нейросетей выделяется TimesNet — фиолетовая линия: это лучшая нейросетевая модель, её средний ранг около четырёх, она вплотную подходит к классике. Трансформеры в режиме обучения на одном ряде заметно отстают. И ключевая тенденция: чем выше частота и длиннее ряды — тем сильнее линии нейросетей поднимаются вверх, разрыв с классикой сокращается.</w:t>
      </w:r>
    </w:p>
    <w:p>
      <w:pPr>
        <w:spacing w:after="80"/>
        <w:jc w:val="left"/>
      </w:pPr>
      <w:r>
        <w:rPr>
          <w:rFonts w:ascii="Times New Roman" w:hAnsi="Times New Roman"/>
          <w:b/>
          <w:i w:val="0"/>
          <w:sz w:val="28"/>
        </w:rPr>
        <w:t>Слайд 6. Длина ряда — ключевой фактор</w:t>
      </w:r>
    </w:p>
    <w:p>
      <w:pPr>
        <w:spacing w:after="120"/>
        <w:jc w:val="left"/>
      </w:pPr>
      <w:r>
        <w:rPr>
          <w:rFonts w:ascii="Times New Roman" w:hAnsi="Times New Roman"/>
          <w:b w:val="0"/>
          <w:i w:val="0"/>
          <w:sz w:val="28"/>
        </w:rPr>
        <w:t>Этот слайд объясняет, почему так происходит. На горизонтальной диаграмме — средний sMAPE всех моделей на ежедневных рядах M4, это самые длинные ряды в эксперименте. Зелёным отмечены классические модели, синим — нейросетевые.</w:t>
      </w:r>
    </w:p>
    <w:p>
      <w:pPr>
        <w:spacing w:after="120"/>
        <w:jc w:val="left"/>
      </w:pPr>
      <w:r>
        <w:rPr>
          <w:rFonts w:ascii="Times New Roman" w:hAnsi="Times New Roman"/>
          <w:b w:val="0"/>
          <w:i w:val="0"/>
          <w:sz w:val="28"/>
        </w:rPr>
        <w:t>Здесь хорошо видно, что на длинных рядах картина меняется: TimesNet с результатом 3,62 вплотную подходит к лучшей классике — Auto-ARIMA 3,22 и ETS 3,46, а PatchTST, N-BEATS и Helformer образуют плотную конкурентоспособную группу. Prophet ожидаемо стоит особняком справа — он плохо справляется с недельной сезонностью. Главный вывод слайда: существует пороговая длина ряда порядка 50–100 наблюдений; ниже неё уверенно лидирует классика, выше — нейросети становятся конкурентоспособными.</w:t>
      </w:r>
    </w:p>
    <w:p>
      <w:pPr>
        <w:spacing w:after="80"/>
        <w:jc w:val="left"/>
      </w:pPr>
      <w:r>
        <w:rPr>
          <w:rFonts w:ascii="Times New Roman" w:hAnsi="Times New Roman"/>
          <w:b/>
          <w:i w:val="0"/>
          <w:sz w:val="28"/>
        </w:rPr>
        <w:t>Слайд 7. Предобучение — главный результат</w:t>
      </w:r>
    </w:p>
    <w:p>
      <w:pPr>
        <w:spacing w:after="120"/>
        <w:jc w:val="left"/>
      </w:pPr>
      <w:r>
        <w:rPr>
          <w:rFonts w:ascii="Times New Roman" w:hAnsi="Times New Roman"/>
          <w:b w:val="0"/>
          <w:i w:val="0"/>
          <w:sz w:val="28"/>
        </w:rPr>
        <w:t>Самый сильный результат работы связан с предобучением. Идея простая: сначала модель обучается на большом корпусе рядов, а затем дообучается на конкретном ряде.</w:t>
      </w:r>
    </w:p>
    <w:p>
      <w:pPr>
        <w:spacing w:after="120"/>
        <w:jc w:val="left"/>
      </w:pPr>
      <w:r>
        <w:rPr>
          <w:rFonts w:ascii="Times New Roman" w:hAnsi="Times New Roman"/>
          <w:b w:val="0"/>
          <w:i w:val="0"/>
          <w:sz w:val="28"/>
        </w:rPr>
        <w:t>На диаграмме показано относительное улучшение sMAPE при предобучении для семи нейросетевых моделей по шести частотам; положительные столбцы означают, что модель стала точнее. Видно, что почти везде столбцы положительные и часто очень высокие. Справа я выделил три цифры: DLinear улучшается в среднем на 31,5 процента, Autoformer — на 25,5, Helformer — на 18,2. То есть предобучение превращает слабые в обычном режиме модели в сильные. Единственное заметное исключение — TimesNet на коротких годовых рядах, где предобучение, наоборот, размывает выученную специализацию.</w:t>
      </w:r>
    </w:p>
    <w:p>
      <w:pPr>
        <w:spacing w:after="80"/>
        <w:jc w:val="left"/>
      </w:pPr>
      <w:r>
        <w:rPr>
          <w:rFonts w:ascii="Times New Roman" w:hAnsi="Times New Roman"/>
          <w:b/>
          <w:i w:val="0"/>
          <w:sz w:val="28"/>
        </w:rPr>
        <w:t>Слайд 8. Предобученные нейросети обходят классику</w:t>
      </w:r>
    </w:p>
    <w:p>
      <w:pPr>
        <w:spacing w:after="120"/>
        <w:jc w:val="left"/>
      </w:pPr>
      <w:r>
        <w:rPr>
          <w:rFonts w:ascii="Times New Roman" w:hAnsi="Times New Roman"/>
          <w:b w:val="0"/>
          <w:i w:val="0"/>
          <w:sz w:val="28"/>
        </w:rPr>
        <w:t>Здесь — кульминация. На графике один из ежедневных рядов: серым показана обучающая история, чёрным — фактические будущие значения, цветными линиями — прогнозы всех моделей. В легенде указан sMAPE каждой модели.</w:t>
      </w:r>
    </w:p>
    <w:p>
      <w:pPr>
        <w:spacing w:after="120"/>
        <w:jc w:val="left"/>
      </w:pPr>
      <w:r>
        <w:rPr>
          <w:rFonts w:ascii="Times New Roman" w:hAnsi="Times New Roman"/>
          <w:b w:val="0"/>
          <w:i w:val="0"/>
          <w:sz w:val="28"/>
        </w:rPr>
        <w:t>Видно, что предобученные нейросетевые модели — PatchTST, FEDformer, Helformer — идут плотно к чёрной фактической линии и заметно точнее классических ARIMA и ETS, которые показаны пунктиром. Это уже не паритет, а превосходство: на месячных рядах M3 предобученный TimesNet точнее ETS, а на ежедневных рядах M4 предобученный PatchTST обходит и Auto-ARIMA, и ETS. Предобучение сдвигает порог конкурентоспособности вниз.</w:t>
      </w:r>
    </w:p>
    <w:p>
      <w:pPr>
        <w:spacing w:after="80"/>
        <w:jc w:val="left"/>
      </w:pPr>
      <w:r>
        <w:rPr>
          <w:rFonts w:ascii="Times New Roman" w:hAnsi="Times New Roman"/>
          <w:b/>
          <w:i w:val="0"/>
          <w:sz w:val="28"/>
        </w:rPr>
        <w:t>Слайд 9. Анализ отдельных рядов</w:t>
      </w:r>
    </w:p>
    <w:p>
      <w:pPr>
        <w:spacing w:after="120"/>
        <w:jc w:val="left"/>
      </w:pPr>
      <w:r>
        <w:rPr>
          <w:rFonts w:ascii="Times New Roman" w:hAnsi="Times New Roman"/>
          <w:b w:val="0"/>
          <w:i w:val="0"/>
          <w:sz w:val="28"/>
        </w:rPr>
        <w:t>Чтобы показать, что это не единичные случаи, я проанализировал каждый ряд отдельно. На графике — характерный пример: короткий ряд из 174 точек, на котором нейросети уверенно повторяют восходящий тренд фактических значений, тогда как классика и сезонный наивный прогноз отстают.</w:t>
      </w:r>
    </w:p>
    <w:p>
      <w:pPr>
        <w:spacing w:after="120"/>
        <w:jc w:val="left"/>
      </w:pPr>
      <w:r>
        <w:rPr>
          <w:rFonts w:ascii="Times New Roman" w:hAnsi="Times New Roman"/>
          <w:b w:val="0"/>
          <w:i w:val="0"/>
          <w:sz w:val="28"/>
        </w:rPr>
        <w:t>В цифрах справа: на 517 из 1000 ежедневных рядов хотя бы одна нейросетевая модель точнее лучшей классической, а на 295 рядах побеждают сразу три и более нейросети. То есть преимущество нейросетей на длинных рядах — массовое, а не точечное.</w:t>
      </w:r>
    </w:p>
    <w:p>
      <w:pPr>
        <w:spacing w:after="80"/>
        <w:jc w:val="left"/>
      </w:pPr>
      <w:r>
        <w:rPr>
          <w:rFonts w:ascii="Times New Roman" w:hAnsi="Times New Roman"/>
          <w:b/>
          <w:i w:val="0"/>
          <w:sz w:val="28"/>
        </w:rPr>
        <w:t>Слайд 10. Итеративное прогнозирование</w:t>
      </w:r>
    </w:p>
    <w:p>
      <w:pPr>
        <w:spacing w:after="120"/>
        <w:jc w:val="left"/>
      </w:pPr>
      <w:r>
        <w:rPr>
          <w:rFonts w:ascii="Times New Roman" w:hAnsi="Times New Roman"/>
          <w:b w:val="0"/>
          <w:i w:val="0"/>
          <w:sz w:val="28"/>
        </w:rPr>
        <w:t>Отдельно я проверил итеративный режим, когда модель пошагово использует собственные прогнозы как вход и ошибка накапливается.</w:t>
      </w:r>
    </w:p>
    <w:p>
      <w:pPr>
        <w:spacing w:after="120"/>
        <w:jc w:val="left"/>
      </w:pPr>
      <w:r>
        <w:rPr>
          <w:rFonts w:ascii="Times New Roman" w:hAnsi="Times New Roman"/>
          <w:b w:val="0"/>
          <w:i w:val="0"/>
          <w:sz w:val="28"/>
        </w:rPr>
        <w:t>Здесь обнаружилась важная закономерность: сильнее всего деградируют именно модели с обучаемой декомпозицией — FEDformer и TimesNet теряют около пяти пунктов sMAPE. Наиболее устойчивым трансформером оказался PatchTST, который работает без явной декомпозиции. Классические модели к режиму практически нечувствительны. Вывод: сложная обучаемая декомпозиция — это риск при многошаговом прогнозе, и в таком сценарии простые и классические модели предпочтительнее.</w:t>
      </w:r>
    </w:p>
    <w:p>
      <w:pPr>
        <w:spacing w:after="80"/>
        <w:jc w:val="left"/>
      </w:pPr>
      <w:r>
        <w:rPr>
          <w:rFonts w:ascii="Times New Roman" w:hAnsi="Times New Roman"/>
          <w:b/>
          <w:i w:val="0"/>
          <w:sz w:val="28"/>
        </w:rPr>
        <w:t>Слайд 11. Выводы и практические рекомендации</w:t>
      </w:r>
    </w:p>
    <w:p>
      <w:pPr>
        <w:spacing w:after="120"/>
        <w:jc w:val="left"/>
      </w:pPr>
      <w:r>
        <w:rPr>
          <w:rFonts w:ascii="Times New Roman" w:hAnsi="Times New Roman"/>
          <w:b w:val="0"/>
          <w:i w:val="0"/>
          <w:sz w:val="28"/>
        </w:rPr>
        <w:t>Сформулирую основные выводы. Первое: длина ряда — решающий фактор; ниже порога 50–100 наблюдений лидирует классика, выше — нейросети конкурентоспособны. Второе: лучшая нейросеть в обычном режиме — TimesNet, его обучаемая двумерная декомпозиция эффективна при достатке данных. Третье, и самое важное: предобучение кардинально усиливает нейросети, на 18–32 процента, и выводит их на уровень и выше классики на месячных рядах M3 и ежедневных M4. Четвёртое: тип декомпозиции должен соответствовать режиму — фиксированная устойчивее, обучаемая адаптивнее, но хрупка при итеративном прогнозе.</w:t>
      </w:r>
    </w:p>
    <w:p>
      <w:pPr>
        <w:spacing w:after="120"/>
        <w:jc w:val="left"/>
      </w:pPr>
      <w:r>
        <w:rPr>
          <w:rFonts w:ascii="Times New Roman" w:hAnsi="Times New Roman"/>
          <w:b w:val="0"/>
          <w:i w:val="0"/>
          <w:sz w:val="28"/>
        </w:rPr>
        <w:t>Главный итог работы: ответ на вопрос о превосходстве нейросетевых механизмов не является бинарным — их эффективность критически зависит от длины ряда, режима обучения и доступного объёма данных.</w:t>
      </w:r>
    </w:p>
    <w:p>
      <w:pPr>
        <w:spacing w:after="80"/>
        <w:jc w:val="left"/>
      </w:pPr>
      <w:r>
        <w:rPr>
          <w:rFonts w:ascii="Times New Roman" w:hAnsi="Times New Roman"/>
          <w:b/>
          <w:i w:val="0"/>
          <w:sz w:val="28"/>
        </w:rPr>
        <w:t>Слайд 12. Заключение</w:t>
      </w:r>
    </w:p>
    <w:p>
      <w:pPr>
        <w:spacing w:after="120"/>
        <w:jc w:val="left"/>
      </w:pPr>
      <w:r>
        <w:rPr>
          <w:rFonts w:ascii="Times New Roman" w:hAnsi="Times New Roman"/>
          <w:b w:val="0"/>
          <w:i w:val="0"/>
          <w:sz w:val="28"/>
        </w:rPr>
        <w:t>На этом я завершаю выступление. Спасибо за внимание! Готов ответить на ваши вопросы.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