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Times New Roman" w:hAnsi="Times New Roman"/>
          <w:b/>
          <w:i w:val="0"/>
          <w:sz w:val="28"/>
        </w:rPr>
        <w:t>МИРЭА — Российский технологический университет</w:t>
      </w:r>
    </w:p>
    <w:p>
      <w:pPr>
        <w:spacing w:after="240"/>
        <w:jc w:val="center"/>
      </w:pPr>
      <w:r>
        <w:rPr>
          <w:rFonts w:ascii="Times New Roman" w:hAnsi="Times New Roman"/>
          <w:b w:val="0"/>
          <w:i/>
          <w:sz w:val="28"/>
        </w:rPr>
        <w:t>Институт искусственного интеллекта</w:t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sz w:val="30"/>
        </w:rPr>
        <w:t>Текст выступления к защите выпускной квалификационной работы</w:t>
      </w:r>
    </w:p>
    <w:p>
      <w:pPr>
        <w:spacing w:after="240"/>
        <w:jc w:val="center"/>
      </w:pPr>
      <w:r>
        <w:rPr>
          <w:rFonts w:ascii="Times New Roman" w:hAnsi="Times New Roman"/>
          <w:b w:val="0"/>
          <w:i/>
          <w:sz w:val="28"/>
        </w:rPr>
        <w:t>Прогнозирование временных рядов за счёт обучаемой декомпозиции и нейросетевых механизмов учёта долгосрочных зависимостей</w:t>
      </w:r>
    </w:p>
    <w:p>
      <w:pPr>
        <w:spacing w:after="120"/>
        <w:jc w:val="center"/>
      </w:pPr>
      <w:r>
        <w:rPr>
          <w:rFonts w:ascii="Times New Roman" w:hAnsi="Times New Roman"/>
          <w:b w:val="0"/>
          <w:i w:val="0"/>
          <w:sz w:val="28"/>
        </w:rPr>
        <w:t>Выполнил: студент группы КМБО-03-22 Лазарев А.К.</w:t>
      </w:r>
    </w:p>
    <w:p>
      <w:pPr>
        <w:spacing w:after="280"/>
        <w:jc w:val="center"/>
      </w:pPr>
      <w:r>
        <w:rPr>
          <w:rFonts w:ascii="Times New Roman" w:hAnsi="Times New Roman"/>
          <w:b w:val="0"/>
          <w:i w:val="0"/>
          <w:sz w:val="28"/>
        </w:rPr>
        <w:t>Научный руководитель: к.ф.-м.н., доцент кафедры ВМ Петрусевич Д.А.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30"/>
        </w:rPr>
        <w:t>Регламент выступления (ориентировочно 8–9 минут)</w:t>
      </w:r>
    </w:p>
    <w:p>
      <w:pPr>
        <w:spacing w:after="40"/>
        <w:jc w:val="left"/>
      </w:pPr>
      <w:r>
        <w:rPr>
          <w:rFonts w:ascii="Times New Roman" w:hAnsi="Times New Roman"/>
          <w:b w:val="0"/>
          <w:i w:val="0"/>
          <w:sz w:val="28"/>
        </w:rPr>
        <w:t>— Слайды 1–2 — тема, актуальность, цель (40 с).</w:t>
      </w:r>
    </w:p>
    <w:p>
      <w:pPr>
        <w:spacing w:after="40"/>
        <w:jc w:val="left"/>
      </w:pPr>
      <w:r>
        <w:rPr>
          <w:rFonts w:ascii="Times New Roman" w:hAnsi="Times New Roman"/>
          <w:b w:val="0"/>
          <w:i w:val="0"/>
          <w:sz w:val="28"/>
        </w:rPr>
        <w:t>— Слайды 3–5 — постановка, метрики, классика, смысл декомпозиции (1 мин 30 с).</w:t>
      </w:r>
    </w:p>
    <w:p>
      <w:pPr>
        <w:spacing w:after="40"/>
        <w:jc w:val="left"/>
      </w:pPr>
      <w:r>
        <w:rPr>
          <w:rFonts w:ascii="Times New Roman" w:hAnsi="Times New Roman"/>
          <w:b w:val="0"/>
          <w:i w:val="0"/>
          <w:sz w:val="28"/>
        </w:rPr>
        <w:t>— Слайды 6–8 — архитектуры нейросетей: DLinear, N-BEATS, TimesNet, Autoformer, Helformer (2 мин).</w:t>
      </w:r>
    </w:p>
    <w:p>
      <w:pPr>
        <w:spacing w:after="40"/>
        <w:jc w:val="left"/>
      </w:pPr>
      <w:r>
        <w:rPr>
          <w:rFonts w:ascii="Times New Roman" w:hAnsi="Times New Roman"/>
          <w:b w:val="0"/>
          <w:i w:val="0"/>
          <w:sz w:val="28"/>
        </w:rPr>
        <w:t>— Слайд 9 — экспериментальная база и протокол (30 с).</w:t>
      </w:r>
    </w:p>
    <w:p>
      <w:pPr>
        <w:spacing w:after="40"/>
        <w:jc w:val="left"/>
      </w:pPr>
      <w:r>
        <w:rPr>
          <w:rFonts w:ascii="Times New Roman" w:hAnsi="Times New Roman"/>
          <w:b w:val="0"/>
          <w:i w:val="0"/>
          <w:sz w:val="28"/>
        </w:rPr>
        <w:t>— Слайды 10–11 — прямое прогнозирование и роль длины ряда (1 мин).</w:t>
      </w:r>
    </w:p>
    <w:p>
      <w:pPr>
        <w:spacing w:after="40"/>
        <w:jc w:val="left"/>
      </w:pPr>
      <w:r>
        <w:rPr>
          <w:rFonts w:ascii="Times New Roman" w:hAnsi="Times New Roman"/>
          <w:b w:val="0"/>
          <w:i w:val="0"/>
          <w:sz w:val="28"/>
        </w:rPr>
        <w:t>— Слайды 12–14 — предобучение и крупный прогноз (1 мин 30 с).</w:t>
      </w:r>
    </w:p>
    <w:p>
      <w:pPr>
        <w:spacing w:after="40"/>
        <w:jc w:val="left"/>
      </w:pPr>
      <w:r>
        <w:rPr>
          <w:rFonts w:ascii="Times New Roman" w:hAnsi="Times New Roman"/>
          <w:b w:val="0"/>
          <w:i w:val="0"/>
          <w:sz w:val="28"/>
        </w:rPr>
        <w:t>— Слайды 15–16 — сводная таблица и анализ рядов (50 с).</w:t>
      </w:r>
    </w:p>
    <w:p>
      <w:pPr>
        <w:spacing w:after="40"/>
        <w:jc w:val="left"/>
      </w:pPr>
      <w:r>
        <w:rPr>
          <w:rFonts w:ascii="Times New Roman" w:hAnsi="Times New Roman"/>
          <w:b w:val="0"/>
          <w:i w:val="0"/>
          <w:sz w:val="28"/>
        </w:rPr>
        <w:t>— Слайды 17–18 — итеративное прогнозирование (40 с).</w:t>
      </w:r>
    </w:p>
    <w:p>
      <w:pPr>
        <w:spacing w:after="40"/>
        <w:jc w:val="left"/>
      </w:pPr>
      <w:r>
        <w:rPr>
          <w:rFonts w:ascii="Times New Roman" w:hAnsi="Times New Roman"/>
          <w:b w:val="0"/>
          <w:i w:val="0"/>
          <w:sz w:val="28"/>
        </w:rPr>
        <w:t>— Слайды 19–20 — выводы и рекомендации (50 с).</w:t>
      </w:r>
    </w:p>
    <w:p>
      <w:pPr>
        <w:spacing w:after="40"/>
        <w:jc w:val="left"/>
      </w:pPr>
      <w:r>
        <w:rPr>
          <w:rFonts w:ascii="Times New Roman" w:hAnsi="Times New Roman"/>
          <w:b w:val="0"/>
          <w:i w:val="0"/>
          <w:sz w:val="28"/>
        </w:rPr>
        <w:t>— Слайды 21–22 — литература, заключение (15 с).</w:t>
      </w:r>
    </w:p>
    <w:p>
      <w:pPr>
        <w:spacing w:after="40"/>
        <w:jc w:val="left"/>
      </w:pPr>
      <w:r>
        <w:rPr>
          <w:rFonts w:ascii="Times New Roman" w:hAnsi="Times New Roman"/>
          <w:b w:val="0"/>
          <w:i w:val="0"/>
          <w:sz w:val="28"/>
        </w:rPr>
        <w:t>— Доп. 1–3 — экономическая часть: резервные слайды для вопросов.</w:t>
      </w:r>
    </w:p>
    <w:p>
      <w:pPr>
        <w:spacing w:after="200"/>
        <w:jc w:val="left"/>
      </w:pPr>
      <w:r>
        <w:rPr>
          <w:rFonts w:ascii="Times New Roman" w:hAnsi="Times New Roman"/>
          <w:b w:val="0"/>
          <w:i/>
          <w:sz w:val="28"/>
        </w:rPr>
        <w:t>Совет: текст выучить и рассказывать энергично, держа контакт с комиссией; графики не зачитывать, а объяснять.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30"/>
        </w:rPr>
        <w:t>Текст выступления по слайдам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1. Тема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Уважаемые члены комиссии! Тема моей работы — прогнозирование временных рядов за счёт обучаемой декомпозиции и нейросетевых механизмов учёта долгосрочных зависимостей. Научный руководитель — Денис Андреевич Петрусевич. Сразу обозначу главный вопрос работы: когда сложные нейросетевые модели действительно нужны, а когда выигрывает классика.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2. Актуальность и цель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Краткосрочный прогноз нужен везде — спрос, трафик, нагрузка, ресурсы. Проблема одна: универсальной модели не существует. На коротких рядах сильнее классика, на длинных и сложных — нейросети. Современные сети умеют сами раскладывать ряд на компоненты и ловить дальние зависимости, но это дорого и сложно.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Поэтому цель работы я ставлю честно: не доказать превосходство трансформеров, а установить условия, при которых обучаемая декомпозиция и механизмы дальних зависимостей реально окупаются — и где более простые методы остаются лучше.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3. Постановка задачи и метрики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Формально задача простая: дан ряд наблюдений, нужно предсказать его продолжение на горизонте H. Прогноз одномерный и краткосрочный, тестирование — строго вне обучающей выборки. Качество я измеряю тремя метриками: RMSE — абсолютная ошибка, MASE — относительно наивного прогноза, и sMAPE — симметричная процентная ошибка, стандарт соревнований M3 и M4. Три метрики нужны, чтобы выводы не зависели от выбора одной меры.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4. Классические модели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База сравнения — четыре классические модели. ARIMA описывает ряд через авторегрессию, разности и прошлые ошибки. ETS — это экспоненциальное сглаживание уровня, тренда и сезона. Prophet раскладывает ряд на тренд, сезон и календарь. И Seasonal Naive — простейший прогноз по прошлому сезону, наша нижняя планка. Все они интерпретируемы и очень устойчивы на коротких рядах — недооценивать их нельзя.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5. Смысл обучаемой и фиксированной декомпозиции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Теперь ключевое различие, о котором спрашивала комиссия. Декомпозиция — это разложение ряда на простые части: тренд, сезон, остаток. Вопрос — кто задаёт правило разложения.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В фиксированной декомпозиции правило задаёт человек заранее: период сезонности, скользящее среднее, формулы Холта–Уинтерса. Это прозрачно и устойчиво. В обучаемой декомпозиции компоненты выделяет сама сеть в процессе обучения. Это гибче, но сложнее и легко переобучается. И вот смысл всей работы: обучаемость даёт свободу, но требует данных и вычислений. Я проверяю, когда эта свобода окупается, а когда надёжнее жёсткое правило.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6. Архитектуры нейросетей, часть первая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Дальше — как устроены модели; объясню коротко и по сути. На схемах оранжевым выделен шаг декомпозиции.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DLinear — самый простой случай: ряд раскладывается скользящим средним на тренд и колебания, и каждую часть предсказывает отдельный линейный слой. Дёшево и на удивление сильно. N-BEATS идёт дальше: это стек блоков, и каждый блок объясняет часть истории и добавляет свой вклад в прогноз. Итог — сумма вкладов всех блоков. Разница принципиальная: DLinear раскладывает ряд фиксированно, а N-BEATS обучает само разложение.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7. Архитектуры нейросетей, часть вторая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TimesNet — красивая идея: через преобразование Фурье он находит главные периоды ряда и сворачивает одномерный ряд в двумерные «картинки». Тогда обычные свёртки видят и колебания внутри периода, и переходы между периодами.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Autoformer для моей темы — центральная модель. Он делает сразу две вещи: раскладывает ряд на тренд и сезон прямо внутри сети и заменяет обычное внимание на авто-корреляцию — то есть ищет похожие участки на больших лагах. Это ровно то, что вынесено в название работы: обучаемая декомпозиция плюс механизм дальних зависимостей в одной архитектуре.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8. Helformer — основная гибридная модель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Helformer — флагман работы. Сначала декомпозиция Холта–Уинтерса снимает тренд и сезон — это фиксированная, надёжная база. А дальше трансформер с блоком памяти моделирует остаток и дальние зависимости через внимание. По сути Helformer объединяет обе исследуемые идеи в одной модели, поэтому он и вынесен в название работы — это прямой тест нашей гипотезы.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9. Экспериментальная база и протокол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Эксперимент крупный. Полный набор M3 — почти три тысячи рядов — и три тысячи рядов из M4; всего шесть частотных категорий и почти шесть тысяч рядов. Каждую модель я гоняю в трёх режимах: прямой прогноз, итеративный и с предобучением. И третья ось анализа — тип декомпозиции: фиксированная, обучаемая или её отсутствие. Эти три оси и держат всю структуру выводов.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10. Прямое прогнозирование и что такое ранг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Сначала отвечу на вопрос комиссии, что такое ранг. На каждом отдельном ряде я выстраиваю модели по sMAPE: лучшая получает первое место, и так далее. Потом усредняю эти места по всем рядам категории — получается средний ранг модели. На карте зелёный — низкий ранг, то есть точнее; красный — хуже.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И картина однозначная: верхние строки — классика, Auto-ARIMA, ETS и Seasonal Naive — зелёные во всех столбцах. Среди нейросетей зелёная только одна строка — TimesNet. Вывод честный: когда модель учится на одном ряде, классика лидирует везде, а из сетей держится только TimesNet.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11. Длина обучающей выборки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Почему так? Главная причина — длина ряда. На диаграмме — sMAPE на ежедневных рядах M4, самых длинных. Здесь картина переворачивается: TimesNet с результатом 3,6 уже на уровне Auto-ARIMA и ETS, а PatchTST, N-BEATS и Helformer идут плотной группой рядом. Prophet ожидаемо в стороне — он слаб на недельной сезонности. Главный вывод слайда: есть порог длины, примерно 50–100 наблюдений. Ниже него правит классика, выше — сети догоняют.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12. Предобучение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А теперь самый важный результат работы — предобучение. Идея простая: сначала учим модель на большом корпусе рядов, а потом дообучаем на конкретном. На диаграмме — относительное улучшение sMAPE; почти всё положительное. В среднем плюс 31 процент у DLinear, плюс 25 у Autoformer, плюс 18 у Helformer. Предобучение буквально вытаскивает слабые модели на конкурентный уровень.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13. Эффект предобучения на прогнозе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Покажу это на одном ряде. Серая линия — история обучения, чёрная — факт, оранжевые — прогнозы Autoformer. И сразу отвечу на замечание с предзащиты: прогноз теперь начинается ровно от последней точки обучения, без разрыва — это видно по подписи на границе.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Пунктир — модель с нуля, ошибка 3,8 процента, она уходит вверх от факта. Сплошная линия — та же модель после предобучения, ошибка всего 1 процент, и она плотно повторяет факт. Один и тот же Autoformer — разница в три раза.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14. Крупный прогноз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Этот слайд — по просьбе комиссии, только прогнозы и крупно. Ежедневный ряд, все модели на одном горизонте. Чёрная жирная — факт. Сплошные линии — предобученные нейросети: PatchTST даёт 0,3 процента, FEDformer — 0,6, Helformer — 0,7. Пунктиром — классика: Auto-ARIMA и ETS по 1,3 процента. Видно невооружённым глазом: сети идут прямо по факту, классика заметно выше. Все обозначения я продублировал текстом справа.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15. Сводная таблица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Сведём всё в таблицу sMAPE по шести категориям. Сверху — классика, снизу — предобученные сети. Смотрите не на отдельные числа, а на два выделенных столбца: месячные ряды M3 и ежедневные M4. Здесь предобученные сети уже точнее лучшей классики. Слева, на коротких рядах, классика по-прежнему впереди. То есть предобучение смещает баланс в пользу сетей, но только там, где хватает данных.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16. Анализ отдельных рядов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Важно показать, что это не один удачный ряд. На графике сети чётко повторяют динамику факта, классика отстаёт. А в цифрах: на 517 из тысячи ежедневных рядов хотя бы одна сеть точнее лучшей классики, и на 295 рядах выигрывают сразу три и более сетей. Преимущество массовое, а не случайное.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17. Итеративное прогнозирование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Теперь обратная сторона. В итеративном режиме модель кормит сама себя своими же прогнозами, и ошибка накапливается. Сильнее всех страдают модели с обучаемой декомпозицией — FEDformer и TimesNet теряют около пяти пунктов sMAPE: их компоненты искажаются на собственных прогнозах. PatchTST устойчив — он не делит ряд на компоненты. Классика почти нечувствительна. Вывод: тип декомпозиции должен соответствовать режиму.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18. Масштаб деградации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На диаграмме это в цифрах: синий столбец — прямой прогноз, оранжевый — итеративный. У классики столбцы одинаковые — деградации нет. У FEDformer, Autoformer и TimesNet оранжевый заметно выше — потеря от четырёх до шести пунктов. Чем сложнее обучаемое разложение, тем дороже обходится многошаговый режим.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19. Выводы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Собираю результаты. Первое: длина ряда — определяющий фактор; ниже порога правит классика, выше — сети конкурентоспособны. Второе: лучшая сеть при обучении на одном ряде — TimesNet. Третье, главное: предобучение даёт плюс 18–32 процента и выводит сети на уровень и выше классики на месячных M3 и ежедневных M4. Четвёртое: обучаемая декомпозиция гибче, но хрупка в итеративном режиме. Общий вывод: сила нейросетей не абсолютна — её определяют длина ряда, режим обучения и объём данных.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20. Когда строить сложные модели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И прямой ответ на вопрос, который наверняка прозвучит: когда вообще стоит браться за сложные модели. Если ряды короткие — берите классику, ETS или ARIMA, сети просто не успеют обучиться. Если ряды длинные и есть корпус похожих рядов — сложная сеть с предобучением окупается, это плюс 18–32 процента. Если прогноз итеративный — снова простые модели, сложная декомпозиция накопит ошибку. Короче: сложная модель оправдана при длинных рядах, доступном корпусе для предобучения и прямом режиме прогноза.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21. Список литературы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На слайде — ключевые источники. Полный список из 51 источника по ГОСТ приведён в тексте работы.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22. Заключение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На этом доклад завершён. Спасибо за внимание — готов ответить на вопросы.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Доп. 1–3. Экономическая часть (резервные слайды)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Экономическая часть выполнена в рамках общего стартапа «ГМ-ПВР». Полная себестоимость разработки — 890 тысяч рублей, основные статьи — накладные расходы и зарплата. По бизнес-плану: чистая приведённая стоимость около 48 миллионов рублей, индекс рентабельности около 55, окупаемость — в пределах первого квартала, а в консервативном сценарии — к концу пятого месяца продаж. Экономия для клиента — порядка 815 тысяч рублей в месяц. Эти слайды держу как резервные на случай вопросов по экономике.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