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Times New Roman" w:hAnsi="Times New Roman"/>
          <w:b/>
          <w:i w:val="0"/>
          <w:sz w:val="28"/>
        </w:rPr>
        <w:t>МИРЭА — Российский технологический университет</w:t>
      </w:r>
    </w:p>
    <w:p>
      <w:pPr>
        <w:spacing w:after="240"/>
        <w:jc w:val="center"/>
      </w:pPr>
      <w:r>
        <w:rPr>
          <w:rFonts w:ascii="Times New Roman" w:hAnsi="Times New Roman"/>
          <w:b w:val="0"/>
          <w:i/>
          <w:sz w:val="28"/>
        </w:rPr>
        <w:t>Институт искусственного интеллекта</w:t>
      </w:r>
    </w:p>
    <w:p>
      <w:pPr>
        <w:spacing w:after="120"/>
        <w:jc w:val="center"/>
      </w:pPr>
      <w:r>
        <w:rPr>
          <w:rFonts w:ascii="Times New Roman" w:hAnsi="Times New Roman"/>
          <w:b/>
          <w:i w:val="0"/>
          <w:sz w:val="30"/>
        </w:rPr>
        <w:t>Текст выступления к защите выпускной квалификационной работы</w:t>
      </w:r>
    </w:p>
    <w:p>
      <w:pPr>
        <w:spacing w:after="240"/>
        <w:jc w:val="center"/>
      </w:pPr>
      <w:r>
        <w:rPr>
          <w:rFonts w:ascii="Times New Roman" w:hAnsi="Times New Roman"/>
          <w:b w:val="0"/>
          <w:i/>
          <w:sz w:val="28"/>
        </w:rPr>
        <w:t>Прогнозирование временных рядов за счёт обучаемой декомпозиции и нейросетевых механизмов учёта долгосрочных зависимостей</w:t>
      </w:r>
    </w:p>
    <w:p>
      <w:pPr>
        <w:spacing w:after="120"/>
        <w:jc w:val="center"/>
      </w:pPr>
      <w:r>
        <w:rPr>
          <w:rFonts w:ascii="Times New Roman" w:hAnsi="Times New Roman"/>
          <w:b w:val="0"/>
          <w:i w:val="0"/>
          <w:sz w:val="28"/>
        </w:rPr>
        <w:t>Выполнил: студент группы КМБО-03-22 Лазарев А.К.</w:t>
      </w:r>
    </w:p>
    <w:p>
      <w:pPr>
        <w:spacing w:after="280"/>
        <w:jc w:val="center"/>
      </w:pPr>
      <w:r>
        <w:rPr>
          <w:rFonts w:ascii="Times New Roman" w:hAnsi="Times New Roman"/>
          <w:b w:val="0"/>
          <w:i w:val="0"/>
          <w:sz w:val="28"/>
        </w:rPr>
        <w:t>Научный руководитель: к.ф.-м.н., доцент кафедры ВМ Петрусевич Д.А.</w:t>
      </w:r>
    </w:p>
    <w:p>
      <w:pPr>
        <w:spacing w:after="80"/>
        <w:jc w:val="left"/>
      </w:pPr>
      <w:r>
        <w:rPr>
          <w:rFonts w:ascii="Times New Roman" w:hAnsi="Times New Roman"/>
          <w:b/>
          <w:i w:val="0"/>
          <w:sz w:val="30"/>
        </w:rPr>
        <w:t>Регламент выступления (ориентировочно 7 минут)</w:t>
      </w:r>
    </w:p>
    <w:p>
      <w:pPr>
        <w:spacing w:after="40"/>
        <w:jc w:val="left"/>
      </w:pPr>
      <w:r>
        <w:rPr>
          <w:rFonts w:ascii="Times New Roman" w:hAnsi="Times New Roman"/>
          <w:b w:val="0"/>
          <w:i w:val="0"/>
          <w:sz w:val="28"/>
        </w:rPr>
        <w:t>— Слайд 1 — представление темы (15 с).</w:t>
      </w:r>
    </w:p>
    <w:p>
      <w:pPr>
        <w:spacing w:after="40"/>
        <w:jc w:val="left"/>
      </w:pPr>
      <w:r>
        <w:rPr>
          <w:rFonts w:ascii="Times New Roman" w:hAnsi="Times New Roman"/>
          <w:b w:val="0"/>
          <w:i w:val="0"/>
          <w:sz w:val="28"/>
        </w:rPr>
        <w:t>— Слайды 2–5 — постановка задачи, модели, протокол (2 мин).</w:t>
      </w:r>
    </w:p>
    <w:p>
      <w:pPr>
        <w:spacing w:after="40"/>
        <w:jc w:val="left"/>
      </w:pPr>
      <w:r>
        <w:rPr>
          <w:rFonts w:ascii="Times New Roman" w:hAnsi="Times New Roman"/>
          <w:b w:val="0"/>
          <w:i w:val="0"/>
          <w:sz w:val="28"/>
        </w:rPr>
        <w:t>— Слайды 6–7 — прямое прогнозирование и роль длины ряда (1 мин 15 с).</w:t>
      </w:r>
    </w:p>
    <w:p>
      <w:pPr>
        <w:spacing w:after="40"/>
        <w:jc w:val="left"/>
      </w:pPr>
      <w:r>
        <w:rPr>
          <w:rFonts w:ascii="Times New Roman" w:hAnsi="Times New Roman"/>
          <w:b w:val="0"/>
          <w:i w:val="0"/>
          <w:sz w:val="28"/>
        </w:rPr>
        <w:t>— Слайды 8–10 — предобучение и сводное сравнение (1 мин 40 с).</w:t>
      </w:r>
    </w:p>
    <w:p>
      <w:pPr>
        <w:spacing w:after="40"/>
        <w:jc w:val="left"/>
      </w:pPr>
      <w:r>
        <w:rPr>
          <w:rFonts w:ascii="Times New Roman" w:hAnsi="Times New Roman"/>
          <w:b w:val="0"/>
          <w:i w:val="0"/>
          <w:sz w:val="28"/>
        </w:rPr>
        <w:t>— Слайд 11 — анализ отдельных рядов (35 с).</w:t>
      </w:r>
    </w:p>
    <w:p>
      <w:pPr>
        <w:spacing w:after="40"/>
        <w:jc w:val="left"/>
      </w:pPr>
      <w:r>
        <w:rPr>
          <w:rFonts w:ascii="Times New Roman" w:hAnsi="Times New Roman"/>
          <w:b w:val="0"/>
          <w:i w:val="0"/>
          <w:sz w:val="28"/>
        </w:rPr>
        <w:t>— Слайды 12–13 — итеративное прогнозирование: проблемы и график (50 с).</w:t>
      </w:r>
    </w:p>
    <w:p>
      <w:pPr>
        <w:spacing w:after="40"/>
        <w:jc w:val="left"/>
      </w:pPr>
      <w:r>
        <w:rPr>
          <w:rFonts w:ascii="Times New Roman" w:hAnsi="Times New Roman"/>
          <w:b w:val="0"/>
          <w:i w:val="0"/>
          <w:sz w:val="28"/>
        </w:rPr>
        <w:t>— Слайд 14 — выводы и рекомендации (45 с).</w:t>
      </w:r>
    </w:p>
    <w:p>
      <w:pPr>
        <w:spacing w:after="40"/>
        <w:jc w:val="left"/>
      </w:pPr>
      <w:r>
        <w:rPr>
          <w:rFonts w:ascii="Times New Roman" w:hAnsi="Times New Roman"/>
          <w:b w:val="0"/>
          <w:i w:val="0"/>
          <w:sz w:val="28"/>
        </w:rPr>
        <w:t>— Слайд 15 — заключение (10 с).</w:t>
      </w:r>
    </w:p>
    <w:p>
      <w:pPr>
        <w:spacing w:after="200"/>
        <w:jc w:val="both"/>
      </w:pPr>
      <w:r>
        <w:rPr>
          <w:rFonts w:ascii="Times New Roman" w:hAnsi="Times New Roman"/>
          <w:b w:val="0"/>
          <w:i w:val="0"/>
          <w:sz w:val="28"/>
        </w:rPr>
      </w:r>
    </w:p>
    <w:p>
      <w:pPr>
        <w:spacing w:after="80"/>
        <w:jc w:val="left"/>
      </w:pPr>
      <w:r>
        <w:rPr>
          <w:rFonts w:ascii="Times New Roman" w:hAnsi="Times New Roman"/>
          <w:b/>
          <w:i w:val="0"/>
          <w:sz w:val="30"/>
        </w:rPr>
        <w:t>Текст выступления по слайдам</w:t>
      </w:r>
    </w:p>
    <w:p>
      <w:pPr>
        <w:spacing w:after="80"/>
        <w:jc w:val="left"/>
      </w:pPr>
      <w:r>
        <w:rPr>
          <w:rFonts w:ascii="Times New Roman" w:hAnsi="Times New Roman"/>
          <w:b/>
          <w:i w:val="0"/>
          <w:sz w:val="28"/>
        </w:rPr>
        <w:t>Слайд 1. Тема работы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sz w:val="28"/>
        </w:rPr>
        <w:t>Уважаемые члены комиссии! Представляю выпускную квалификационную работу на тему «Прогнозирование временных рядов за счёт обучаемой декомпозиции и нейросетевых механизмов учёта долгосрочных зависимостей». Работа выполнена под руководством кандидата физико-математических наук, доцента кафедры высшей математики Петрусевича Дениса Андреевича.</w:t>
      </w:r>
    </w:p>
    <w:p>
      <w:pPr>
        <w:spacing w:after="80"/>
        <w:jc w:val="left"/>
      </w:pPr>
      <w:r>
        <w:rPr>
          <w:rFonts w:ascii="Times New Roman" w:hAnsi="Times New Roman"/>
          <w:b/>
          <w:i w:val="0"/>
          <w:sz w:val="28"/>
        </w:rPr>
        <w:t>Слайд 2. Актуальность и цель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sz w:val="28"/>
        </w:rPr>
        <w:t>Краткосрочное прогнозирование временных рядов применяется в задачах планирования спроса, нагрузки и потребления ресурсов. Принципиальная сложность состоит в отсутствии универсальной модели: статистические методы устойчивы при ограниченной истории наблюдений, тогда как нейросетевые архитектуры эффективнее на длинных и структурно сложных рядах.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sz w:val="28"/>
        </w:rPr>
        <w:t>Современные нейросетевые модели включают обучаемую декомпозицию ряда на компоненты и механизмы учёта долгосрочных зависимостей. Целью работы является установление условий, при которых эти механизмы обеспечивают практическое преимущество над классическими подходами, а также определение области, в которой более простые методы остаются предпочтительными.</w:t>
      </w:r>
    </w:p>
    <w:p>
      <w:pPr>
        <w:spacing w:after="80"/>
        <w:jc w:val="left"/>
      </w:pPr>
      <w:r>
        <w:rPr>
          <w:rFonts w:ascii="Times New Roman" w:hAnsi="Times New Roman"/>
          <w:b/>
          <w:i w:val="0"/>
          <w:sz w:val="28"/>
        </w:rPr>
        <w:t>Слайд 3. Классические статистические модели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sz w:val="28"/>
        </w:rPr>
        <w:t>В качестве эталонной базы сравнения используются четыре классические модели. Seasonal Naive воспроизводит значения предыдущего сезонного периода и служит нижней границей качества и основой метрики MASE. Auto-ARIMA — линейная модель стационаризованного ряда с автоматическим подбором порядков. ETS реализует экспоненциальное сглаживание уровня, тренда и сезонности в пространстве состояний. Prophet строит аддитивную декомпозицию с кусочно-линейным трендом и сезонными гармониками. Эти модели интерпретируемы и устойчивы при короткой истории, что делает их сильной базой сравнения.</w:t>
      </w:r>
    </w:p>
    <w:p>
      <w:pPr>
        <w:spacing w:after="80"/>
        <w:jc w:val="left"/>
      </w:pPr>
      <w:r>
        <w:rPr>
          <w:rFonts w:ascii="Times New Roman" w:hAnsi="Times New Roman"/>
          <w:b/>
          <w:i w:val="0"/>
          <w:sz w:val="28"/>
        </w:rPr>
        <w:t>Слайд 4. Нейросетевые модели и их архитектуры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sz w:val="28"/>
        </w:rPr>
        <w:t>На этом слайде представлены архитектуры ключевых нейросетевых моделей в виде вычислительных конвейеров. Прошу обратить внимание на схему: оранжевым выделен элемент, отвечающий за декомпозицию или её аналог.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sz w:val="28"/>
        </w:rPr>
        <w:t>DLinear применяет декомпозицию скользящим средним и две линейные проекции. N-BEATS использует стек блоков с обучаемым базисным разложением и механизмом двойного остатка. TimesNet через быстрое преобразование Фурье выделяет доминирующие периоды, преобразует ряд в двумерное представление и обрабатывает его свёртками. Helformer — гибридная модель: фиксированная декомпозиция Холта–Уинтерса формирует базовый прогноз, а трансформер с рекуррентным блоком моделирует корректирующие коэффициенты. Дополнительно рассмотрены трансформеры Autoformer, FEDformer и PatchTST. Таким образом, модели различаются способом выделения компонент и механизмом учёта зависимостей — это и составляет предмет сравнения.</w:t>
      </w:r>
    </w:p>
    <w:p>
      <w:pPr>
        <w:spacing w:after="80"/>
        <w:jc w:val="left"/>
      </w:pPr>
      <w:r>
        <w:rPr>
          <w:rFonts w:ascii="Times New Roman" w:hAnsi="Times New Roman"/>
          <w:b/>
          <w:i w:val="0"/>
          <w:sz w:val="28"/>
        </w:rPr>
        <w:t>Слайд 5. Экспериментальная база и протокол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sz w:val="28"/>
        </w:rPr>
        <w:t>Эксперимент проведён на двух эталонных наборах. Использован полный набор M3 Competition — 2829 рядов — и подвыборка M4 Competition на 3000 рядов; всего шесть частотных категорий и 5829 рядов. Для устойчивости выводов качество оценивалось тремя метриками — sMAPE, MASE и RMSE.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sz w:val="28"/>
        </w:rPr>
        <w:t>Каждая модель тестировалась в трёх режимах: прямом, итеративном и с предобучением на корпусе рядов. Дополнительная ось анализа — тип декомпозиции: фиксированная, обучаемая и её отсутствие. Сопоставление по этим трём осям и формирует структуру дальнейшего анализа.</w:t>
      </w:r>
    </w:p>
    <w:p>
      <w:pPr>
        <w:spacing w:after="80"/>
        <w:jc w:val="left"/>
      </w:pPr>
      <w:r>
        <w:rPr>
          <w:rFonts w:ascii="Times New Roman" w:hAnsi="Times New Roman"/>
          <w:b/>
          <w:i w:val="0"/>
          <w:sz w:val="28"/>
        </w:rPr>
        <w:t>Слайд 6. Прямое прогнозирование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sz w:val="28"/>
        </w:rPr>
        <w:t>На графике показана динамика рангов ключевых моделей по шести частотным категориям, слева направо — от годовых рядов M3 до ежедневных рядов M4. Меньший ранг соответствует лучшему качеству.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sz w:val="28"/>
        </w:rPr>
        <w:t>Линии классических моделей расположены в верхней части графика, то есть Auto-ARIMA, ETS и Seasonal Naive устойчиво занимают лидирующие позиции на всех частотах. Среди нейросетевых моделей выделяется TimesNet со средним рангом около четырёх. Трансформеры в режиме обучения на одном ряде заметно отстают. Существенно, что с ростом частоты и длины рядов линии нейросетевых моделей поднимаются — разрыв с классикой убывает.</w:t>
      </w:r>
    </w:p>
    <w:p>
      <w:pPr>
        <w:spacing w:after="80"/>
        <w:jc w:val="left"/>
      </w:pPr>
      <w:r>
        <w:rPr>
          <w:rFonts w:ascii="Times New Roman" w:hAnsi="Times New Roman"/>
          <w:b/>
          <w:i w:val="0"/>
          <w:sz w:val="28"/>
        </w:rPr>
        <w:t>Слайд 7. Длина обучающей выборки как фактор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sz w:val="28"/>
        </w:rPr>
        <w:t>Этот слайд раскрывает причину наблюдаемой зависимости. На диаграмме — средний показатель sMAPE моделей на ежедневных рядах M4, самых длинных в эксперименте; классические модели выделены одним цветом, нейросетевые — другим.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sz w:val="28"/>
        </w:rPr>
        <w:t>На длинных рядах распределение качества меняется: TimesNet с результатом 3,62 сопоставим с Auto-ARIMA и ETS, а PatchTST, N-BEATS и Helformer образуют близкую конкурентную группу. Модель Prophet ожидаемо стоит обособленно из-за слабой обработки недельной сезонности. Главный вывод слайда — наличие пороговой длины обучающей выборки порядка 50–100 наблюдений: ниже неё лидирует классика, выше — нейросетевые модели выходят на её уровень.</w:t>
      </w:r>
    </w:p>
    <w:p>
      <w:pPr>
        <w:spacing w:after="80"/>
        <w:jc w:val="left"/>
      </w:pPr>
      <w:r>
        <w:rPr>
          <w:rFonts w:ascii="Times New Roman" w:hAnsi="Times New Roman"/>
          <w:b/>
          <w:i w:val="0"/>
          <w:sz w:val="28"/>
        </w:rPr>
        <w:t>Слайд 8. Предобучение: эффект переноса знаний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sz w:val="28"/>
        </w:rPr>
        <w:t>Наиболее значимый результат работы связан с предобучением — обучением модели на корпусе рядов с последующим дообучением на целевом ряде. На диаграмме показано относительное улучшение sMAPE для семи нейросетевых моделей по шести частотам; положительные значения соответствуют росту точности.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sz w:val="28"/>
        </w:rPr>
        <w:t>Преобладают положительные столбцы, причём для ряда моделей улучшение значительно. Среднее улучшение составляет 31,5 процента для DLinear, 25,5 — для Autoformer и 18,2 — для Helformer. Таким образом, предобучение выводит ранее слабые модели на конкурентоспособный уровень. Заметное исключение — TimesNet на коротких годовых рядах, где предобучение размывает выученную специализацию.</w:t>
      </w:r>
    </w:p>
    <w:p>
      <w:pPr>
        <w:spacing w:after="80"/>
        <w:jc w:val="left"/>
      </w:pPr>
      <w:r>
        <w:rPr>
          <w:rFonts w:ascii="Times New Roman" w:hAnsi="Times New Roman"/>
          <w:b/>
          <w:i w:val="0"/>
          <w:sz w:val="28"/>
        </w:rPr>
        <w:t>Слайд 9. Предобученные нейросети и классические модели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sz w:val="28"/>
        </w:rPr>
        <w:t>На графике приведён пример ежедневного ряда: серым показана обучающая история, чёрным — фактические будущие значения, цветными линиями — прогнозы моделей; в легенде указан показатель sMAPE.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sz w:val="28"/>
        </w:rPr>
        <w:t>Прогнозы предобученных нейросетевых моделей плотно следуют фактической траектории и точнее классических ARIMA и ETS, показанных пунктиром. Количественно: на месячных рядах M3 предобученный TimesNet точнее ETS, а на ежедневных рядах M4 предобученный PatchTST точнее Auto-ARIMA и ETS. При достаточном объёме данных предобученные модели обеспечивают точность выше лучших классических.</w:t>
      </w:r>
    </w:p>
    <w:p>
      <w:pPr>
        <w:spacing w:after="80"/>
        <w:jc w:val="left"/>
      </w:pPr>
      <w:r>
        <w:rPr>
          <w:rFonts w:ascii="Times New Roman" w:hAnsi="Times New Roman"/>
          <w:b/>
          <w:i w:val="0"/>
          <w:sz w:val="28"/>
        </w:rPr>
        <w:t>Слайд 10. Сводное сравнение по категориям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sz w:val="28"/>
        </w:rPr>
        <w:t>Таблица обобщает показатель sMAPE по всем шести частотным категориям. Сверху — классические модели в режиме обучения на одном ряде, снизу — предобученные нейросетевые. Прошу обратить внимание не на отдельные числа, а на распределение по столбцам.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sz w:val="28"/>
        </w:rPr>
        <w:t>Выделенные столбцы M3-M и M4-D — месячные ряды M3 и ежедневные ряды M4 — показывают, что предобученные нейросетевые модели здесь точнее лучшей классики. На коротких рядах, слева, классические модели сохраняют преимущество. Таблица наглядно демонстрирует, что предобучение смещает преимущество в сторону нейросетей при достаточном объёме данных.</w:t>
      </w:r>
    </w:p>
    <w:p>
      <w:pPr>
        <w:spacing w:after="80"/>
        <w:jc w:val="left"/>
      </w:pPr>
      <w:r>
        <w:rPr>
          <w:rFonts w:ascii="Times New Roman" w:hAnsi="Times New Roman"/>
          <w:b/>
          <w:i w:val="0"/>
          <w:sz w:val="28"/>
        </w:rPr>
        <w:t>Слайд 11. Анализ отдельных временных рядов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sz w:val="28"/>
        </w:rPr>
        <w:t>Чтобы оценить распространённость наблюдаемого эффекта, проведён поэлементный анализ. На графике — характерный ряд, на котором нейросетевые модели точно воспроизводят восходящую динамику фактических значений, тогда как классические подходы отстают.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sz w:val="28"/>
        </w:rPr>
        <w:t>Количественно: на 517 из 1000 ежедневных рядов хотя бы одна нейросетевая модель точнее лучшей классической, а на 295 рядах преимущество имеют три и более нейросетевых модели. Следовательно, преимущество носит массовый, а не единичный характер.</w:t>
      </w:r>
    </w:p>
    <w:p>
      <w:pPr>
        <w:spacing w:after="80"/>
        <w:jc w:val="left"/>
      </w:pPr>
      <w:r>
        <w:rPr>
          <w:rFonts w:ascii="Times New Roman" w:hAnsi="Times New Roman"/>
          <w:b/>
          <w:i w:val="0"/>
          <w:sz w:val="28"/>
        </w:rPr>
        <w:t>Слайд 12. Итеративное прогнозирование: проблемы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sz w:val="28"/>
        </w:rPr>
        <w:t>Отдельно исследована устойчивость моделей в итеративном режиме, при котором ошибка накапливается на горизонте прогноза. Установлено, что сильнее всего деградируют модели с обучаемой декомпозицией: FEDformer и TimesNet теряют около пяти пунктов sMAPE, поскольку выделенные компоненты искажаются на собственных прогнозах. Наиболее устойчивым трансформером оказался PatchTST, не использующий явного разделения на компоненты. Классические модели практически нечувствительны к режиму. Отсюда следует, что тип декомпозиции должен соответствовать режиму прогнозирования, а выбор модели — учитывать не только точность, но и условия её применения.</w:t>
      </w:r>
    </w:p>
    <w:p>
      <w:pPr>
        <w:spacing w:after="80"/>
        <w:jc w:val="left"/>
      </w:pPr>
      <w:r>
        <w:rPr>
          <w:rFonts w:ascii="Times New Roman" w:hAnsi="Times New Roman"/>
          <w:b/>
          <w:i w:val="0"/>
          <w:sz w:val="28"/>
        </w:rPr>
        <w:t>Слайд 13. Итеративное прогнозирование: график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sz w:val="28"/>
        </w:rPr>
        <w:t>На графике показан прогноз на квартальном ряде T478 набора M3. Чёрная линия — фактические значения, пунктирные линии — прямой прогноз моделей, сплошные — итеративный прогноз тех же моделей.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sz w:val="28"/>
        </w:rPr>
        <w:t>Видно, что у моделей с обучаемой декомпозицией пунктирная и сплошная линии заметно расходятся, и в итеративном режиме прогноз отклоняется от факта. У классических моделей такого расхождения практически нет — это наглядно подтверждает количественные выводы предыдущего слайда.</w:t>
      </w:r>
    </w:p>
    <w:p>
      <w:pPr>
        <w:spacing w:after="80"/>
        <w:jc w:val="left"/>
      </w:pPr>
      <w:r>
        <w:rPr>
          <w:rFonts w:ascii="Times New Roman" w:hAnsi="Times New Roman"/>
          <w:b/>
          <w:i w:val="0"/>
          <w:sz w:val="28"/>
        </w:rPr>
        <w:t>Слайд 14. Выводы и практические рекомендации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sz w:val="28"/>
        </w:rPr>
        <w:t>Сформулирую основные результаты. Первый: длина обучающей выборки является определяющим фактором — ниже порога около 50–100 наблюдений предпочтительны ETS и Auto-ARIMA, выше — нейросетевые модели конкурентоспособны. Второй: лучшая нейросетевая модель в режиме обучения на одном ряде — TimesNet. Третий, наиболее значимый: предобучение повышает качество нейросетевых моделей на 18–32 процента и выводит их на уровень и выше классики на месячных рядах M3 и ежедневных M4. Четвёртый: тип декомпозиции должен соответствовать режиму прогнозирования.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sz w:val="28"/>
        </w:rPr>
        <w:t>Общий вывод работы состоит в том, что эффективность нейросетевых механизмов не является абсолютной — она определяется длиной ряда, режимом обучения и доступным объёмом данных.</w:t>
      </w:r>
    </w:p>
    <w:p>
      <w:pPr>
        <w:spacing w:after="80"/>
        <w:jc w:val="left"/>
      </w:pPr>
      <w:r>
        <w:rPr>
          <w:rFonts w:ascii="Times New Roman" w:hAnsi="Times New Roman"/>
          <w:b/>
          <w:i w:val="0"/>
          <w:sz w:val="28"/>
        </w:rPr>
        <w:t>Слайд 15. Заключение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sz w:val="28"/>
        </w:rPr>
        <w:t>На этом доклад завершён. Благодарю за внимание. Готов ответить на вопросы комиссии.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