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9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СЛОИ ПРИЛОЖЕНИЯ И ЗАМЕНА ХРАНИЛИЩА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Разделить решение на слои UI, application, domain и infrastructure, определить порт репозитория и подтвердить устойчивость идентификатора.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Интерфейс обращается к NutritionPlanService, сервис — к NutritionPlanRepository, а адаптер InMemoryNutritionPlanRepository реализует порт. Предметная модель не зависит от JavaFX.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Направление зависимостей идёт от внешних слоёв к внутренним контрактам. Репозиторий скрывает способ хранения, сервис выдаёт устойчивый id и применяет бизнес-правила.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 выполняет прежние сценарии формы, а архитектура допускает замену памяти на БД без изменения UI и доменной модели.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Текущий адаптер хранит данные только в памяти процесса. Слой UI не должен создавать SQL или напрямую управлять коллекцией репозитория.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Контроллер преобразует поля в команду сервиса. Сервис проверяет правила, получает следующий id, создаёт NutritionPlan и сохраняет через порт. Адаптер возвращает копии данных.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 25, JavaFX, пакетная структура domain/application/infrastructure/ui, JUnit и Gradle.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Команды создания и смены состояния; запрос всех планов.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Предметные объекты с устойчивыми идентификаторами и сообщения интерфейса.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Проверка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Пользовательский интерфейс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Ввод и обратная связь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UI-снимки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Прикладная логика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Сценарии и правила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Автотесты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Данные/инфраструктура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Состояние и хранение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 запуска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Начальное состояние.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UI поверх прикладного сервиса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Устойчивый идентификатор.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table-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Идентификатор после операций со списком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Исправление ошибки.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corr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Успешное продолжение после валидации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разделено на четыре слоя, а хранение вынесено за порт репозитория. UI не знает реализацию инфраструктуры, бизнес-правила сосредоточены в сервисе и модели, идентификатор сохраняет устойчивость.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9</dc:title>
  <dc:subject>Слои приложения и замена хранилища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