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line="360" w:lineRule="auto" w:before="0" w:after="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Практическая работа 10</w:t>
      </w:r>
    </w:p>
    <w:p>
      <w:pPr>
        <w:keepLines/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АННОТАЦИИ, РЕФЛЕКСИЯ И DYNAMIC PROXY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работы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Освоить runtime-аннотации, рефлексию и динамический proxy для наблюдения за прикладными операциями без переноса бизнес-логики.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Описание программы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Публичные операции сервиса помечаются runtime-аннотацией. Рефлексия находит метаданные, а Proxy перехватывает вызовы интерфейса, считает отмеченные операции и передаёт их делегату.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Общие сведения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Аннотация описывает назначение операции. InvocationHandler различает отмеченные и обычные методы, обновляет метрики и разворачивает InvocationTargetException, сохраняя исходную ошибку.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Функциональное назначение и ограничения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Наблюдение даёт количество вызовов и имена операций, не меняя результата сервиса. Неаннотированный all пропускается.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Proxy работает через интерфейс сервиса. Метрики не заменяют доменные проверки, а исходное исключение не должно уходить наружу в оболочке рефлексии.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Логическая структура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 вызове handler ищет соответствующий Method, читает аннотацию, фиксирует метрику и выполняет invoke. Cause отражённой ошибки выбрасывается без изменения типа.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Используемые технические средства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Java Reflection API, java.lang.reflect.Proxy, runtime-аннотации, JUnit и Gradle.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Входные и выходные данные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Входные данные.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Вызовы addPlan, changeStatus и all через прокси-ссылку.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Выходные данные.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Совпадающие результаты прямого и proxied-вызова, счётчики операций и исходные исключения.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Контрольные сценарии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Ответственность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Проверка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Пользовательский интерфейс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Ввод и обратная связь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UI-снимки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Прикладная логика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Сценарии и правила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Автотесты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Данные/инфраструктура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Состояние и хранение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Протокол запуска</w:t>
            </w:r>
          </w:p>
        </w:tc>
      </w:tr>
    </w:tbl>
    <w:p>
      <w:r>
        <w:br w:type="page"/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Ход работы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Проект собран и проверен по командам из README и протокола проверки. Ниже приведены фактические фрагменты реализации и результаты запусков; учебные изображения преподавателя не использовались.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 Демонстрация механизма.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1880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0_dem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880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1 – Рефлексия, метрики и передача ошибки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 Интерфейс приложения.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656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initi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5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2 – UI с наблюдаемым сервисом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 Стабильный результат.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656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stable-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5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3 – Работа приложения через proxy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Вывод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Runtime-аннотации и dynamic proxy добавили наблюдаемость без дублирования бизнес-правил. Отмеченные операции подсчитываются, обычные методы не искажаются, а исходные исключения передаются прозрачно.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rPr>
          <w:trHeight w:val="879" w:hRule="atLeast"/>
        </w:trPr>
        <w:tc>
          <w:tcPr>
            <w:tcW w:type="dxa" w:w="4394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Lines/>
              <w:spacing w:line="360" w:lineRule="auto" w:before="0" w:after="0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8"/>
              </w:rPr>
              <w:t>Выполнил: студент группы</w:t>
            </w:r>
          </w:p>
          <w:p>
            <w:pPr>
              <w:keepLines/>
              <w:spacing w:line="36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sz w:val="28"/>
              </w:rPr>
              <w:t>090302-ИСТа-023</w:t>
            </w:r>
          </w:p>
        </w:tc>
        <w:tc>
          <w:tcPr>
            <w:tcW w:type="dxa" w:w="4394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Lines/>
              <w:spacing w:line="360" w:lineRule="auto" w:before="0" w:after="0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8"/>
              </w:rPr>
              <w:t>Карионов В.В.</w:t>
            </w:r>
          </w:p>
        </w:tc>
      </w:tr>
      <w:tr>
        <w:trPr>
          <w:trHeight w:val="482" w:hRule="atLeast"/>
        </w:trPr>
        <w:tc>
          <w:tcPr>
            <w:tcW w:type="dxa" w:w="4394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Lines/>
              <w:spacing w:line="360" w:lineRule="auto" w:before="0" w:after="0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8"/>
              </w:rPr>
              <w:t>Проверил: преподаватель</w:t>
            </w:r>
          </w:p>
        </w:tc>
        <w:tc>
          <w:tcPr>
            <w:tcW w:type="dxa" w:w="4394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Lines/>
              <w:spacing w:line="360" w:lineRule="auto" w:before="0" w:after="0"/>
              <w:ind w:firstLine="0" w:left="0" w:right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8"/>
              </w:rPr>
              <w:t>Елкин Н.С.</w:t>
            </w:r>
          </w:p>
        </w:tc>
      </w:tr>
    </w:tbl>
    <w:sectPr w:rsidR="00FC693F" w:rsidRPr="0006063C" w:rsidSect="00034616">
      <w:pgSz w:w="11906" w:h="16838"/>
      <w:pgMar w:top="1134" w:right="850" w:bottom="1134" w:left="170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практической работе 10</dc:title>
  <dc:subject>Аннотации, рефлексия и dynamic proxy</dc:subject>
  <dc:creator>Карионов В.В.</dc:creator>
  <cp:keywords>JVM, Java, КБЖУ, практическая работа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