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11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SQLITE, JDBC И ПАРАМЕТРИЗОВАННЫЕ ЗАПРОСЫ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Заменить адаптер памяти на SQLite через JDBC, использовать PreparedStatement и подтвердить сохранение данных после повторного открытия.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SqliteNutritionPlanRepository реализует прежний порт. При старте создаётся схема с ограничениями, а CRUD-операции выполняются параметризованными запросами.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SQLite хранит данные в локальном файле. JDBC управляет Connection, PreparedStatement и ResultSet; значения пользователя передаются параметрами, а не склеиваются с SQL.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Планы сохраняются между запусками и читаются тем же сервисом. Ограничение уникальности превращается в понятный предметный отказ.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Решение локальное и однопользовательское. Схема ограничивает обязательные поля, допустимые состояния и уникальность нормализованного названия.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Репозиторий открывает соединение, создаёт таблицу, подготавливает SQL, устанавливает параметры и преобразует строки ResultSet в NutritionPlan. Ресурсы закрываются try-with-resources.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SQLite, JDBC, sqlite-jdbc, PreparedStatement, Gradle и интеграционные тесты с временной БД.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Предметный объект и путь к файлу БД; SQL-параметры.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Сохранённые строки, восстановленные объекты либо предметная ошибка ограничения.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Проверка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Пользовательский интерфейс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 и обратная связь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UI-снимки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Прикладная логика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 и правила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Автотесты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Данные/инфраструктура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Состояние и хранение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запуска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Проверка БД.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_dem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JDBC, повторное открытие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Начальное окно.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initi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Приложение с SQLite-адаптером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Стабильный ID.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table-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Запись после повторных операций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Порт репозитория реализован на SQLite без изменения UI и домена. PreparedStatement безопасно передаёт значения, данные переживают повторное открытие, а ограничения схемы поддерживают инварианты.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rPr>
          <w:trHeight w:val="879" w:hRule="atLeast"/>
        </w:trPr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Выполнил: студент группы</w:t>
            </w:r>
          </w:p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sz w:val="28"/>
              </w:rPr>
              <w:t>090302-ИСТа-023</w:t>
            </w:r>
          </w:p>
        </w:tc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Карионов В.В.</w:t>
            </w:r>
          </w:p>
        </w:tc>
      </w:tr>
      <w:tr>
        <w:trPr>
          <w:trHeight w:val="482" w:hRule="atLeast"/>
        </w:trPr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Проверил: преподаватель</w:t>
            </w:r>
          </w:p>
        </w:tc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11</dc:title>
  <dc:subject>Sqlite, jdbc и параметризованные запросы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