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Lines/>
        <w:spacing w:line="360" w:lineRule="auto" w:before="0" w:after="4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Практическая работа 9</w:t>
      </w:r>
    </w:p>
    <w:p>
      <w:pPr>
        <w:keepLines/>
        <w:spacing w:line="360" w:lineRule="auto" w:before="0" w:after="24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СЛОИ ПРИЛОЖЕНИЯ И ЗАМЕНА ХРАНИЛИЩА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Цель работы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Разделить решение на слои UI, application, domain и infrastructure, определить порт репозитория и подтвердить устойчивость идентификатора.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Описание программы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Интерфейс обращается к NutritionPlanService, сервис — к NutritionPlanRepository, а адаптер InMemoryNutritionPlanRepository реализует порт. Предметная модель не зависит от JavaFX.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Общие сведения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Направление зависимостей идёт от внешних слоёв к внутренним контрактам. Репозиторий скрывает способ хранения, сервис выдаёт устойчивый id и применяет бизнес-правила.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Функциональное назначение и ограничения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Пользователь выполняет прежние сценарии формы, а архитектура допускает замену памяти на БД без изменения UI и доменной модели.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Текущий адаптер хранит данные только в памяти процесса. Слой UI не должен создавать SQL или напрямую управлять коллекцией репозитория.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Логическая структура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Контроллер преобразует поля в команду сервиса. Сервис проверяет правила, получает следующий id, создаёт NutritionPlan и сохраняет через порт. Адаптер возвращает копии данных.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Используемые технические средства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Java 25, JavaFX, пакетная структура domain/application/infrastructure/ui, JUnit и Gradle.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Входные и выходные данные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 xml:space="preserve">Входные данные.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Команды создания и смены состояния; запрос всех планов.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 xml:space="preserve">Выходные данные.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Предметные объекты с устойчивыми идентификаторами и сообщения интерфейса.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Контрольные сценарии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7E6E6"/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32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7E6E6"/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Ответственность</w:t>
            </w:r>
          </w:p>
        </w:tc>
        <w:tc>
          <w:tcPr>
            <w:tcW w:type="dxa" w:w="317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7E6E6"/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Проверка</w:t>
            </w:r>
          </w:p>
        </w:tc>
      </w:tr>
      <w:tr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Пользовательский интерфейс</w:t>
            </w:r>
          </w:p>
        </w:tc>
        <w:tc>
          <w:tcPr>
            <w:tcW w:type="dxa" w:w="32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Ввод и обратная связь</w:t>
            </w:r>
          </w:p>
        </w:tc>
        <w:tc>
          <w:tcPr>
            <w:tcW w:type="dxa" w:w="317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UI-снимки</w:t>
            </w:r>
          </w:p>
        </w:tc>
      </w:tr>
      <w:tr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Прикладная логика</w:t>
            </w:r>
          </w:p>
        </w:tc>
        <w:tc>
          <w:tcPr>
            <w:tcW w:type="dxa" w:w="32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Сценарии и правила</w:t>
            </w:r>
          </w:p>
        </w:tc>
        <w:tc>
          <w:tcPr>
            <w:tcW w:type="dxa" w:w="317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Автотесты</w:t>
            </w:r>
          </w:p>
        </w:tc>
      </w:tr>
      <w:tr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Данные/инфраструктура</w:t>
            </w:r>
          </w:p>
        </w:tc>
        <w:tc>
          <w:tcPr>
            <w:tcW w:type="dxa" w:w="32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Состояние и хранение</w:t>
            </w:r>
          </w:p>
        </w:tc>
        <w:tc>
          <w:tcPr>
            <w:tcW w:type="dxa" w:w="317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Протокол запуска</w:t>
            </w:r>
          </w:p>
        </w:tc>
      </w:tr>
    </w:tbl>
    <w:p>
      <w:r>
        <w:br w:type="page"/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Ход работы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Проект собран и проверен по командам из README и протокола проверки. Ниже приведены фактические фрагменты реализации и результаты запусков; учебные изображения преподавателя не использовались.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1. Начальное состояние. Фактическое состояние получено при запуске проекта и сохранено в каталоге docs/evidence. Оно подтверждает соответствующий пользовательский сценарий и отсутствие аварийного завершения.</w:t>
      </w:r>
    </w:p>
    <w:p>
      <w:pPr>
        <w:keepNext/>
        <w:keepLines/>
        <w:spacing w:line="360" w:lineRule="auto" w:before="8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3656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initi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656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line="360" w:lineRule="auto" w:before="0" w:after="8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Рисунок 1 – UI поверх прикладного сервиса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2. Устойчивый идентификатор. Фактическое состояние получено при запуске проекта и сохранено в каталоге docs/evidence. Оно подтверждает соответствующий пользовательский сценарий и отсутствие аварийного завершения.</w:t>
      </w:r>
    </w:p>
    <w:p>
      <w:pPr>
        <w:keepNext/>
        <w:keepLines/>
        <w:spacing w:line="360" w:lineRule="auto" w:before="8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36565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stable-i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656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line="360" w:lineRule="auto" w:before="0" w:after="8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Рисунок 2 – Идентификатор после операций со списком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3. Исправление ошибки. Фактическое состояние получено при запуске проекта и сохранено в каталоге docs/evidence. Оно подтверждает соответствующий пользовательский сценарий и отсутствие аварийного завершения.</w:t>
      </w:r>
    </w:p>
    <w:p>
      <w:pPr>
        <w:keepNext/>
        <w:keepLines/>
        <w:spacing w:line="360" w:lineRule="auto" w:before="8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36565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correct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656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line="360" w:lineRule="auto" w:before="0" w:after="8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Рисунок 3 – Успешное продолжение после валидации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Вывод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Приложение разделено на четыре слоя, а хранение вынесено за порт репозитория. UI не знает реализацию инфраструктуры, бизнес-правила сосредоточены в сервисе и модели, идентификатор сохраняет устойчивость.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677"/>
        <w:gridCol w:w="4677"/>
      </w:tblGrid>
      <w:tr>
        <w:tc>
          <w:tcPr>
            <w:tcW w:type="dxa" w:w="4479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</w:rPr>
              <w:t>Студент группы 090302-ИСТа-023</w:t>
            </w:r>
          </w:p>
        </w:tc>
        <w:tc>
          <w:tcPr>
            <w:tcW w:type="dxa" w:w="4479"/>
            <w:tcMar>
              <w:top w:w="110" w:type="dxa"/>
              <w:start w:w="110" w:type="dxa"/>
              <w:bottom w:w="110" w:type="dxa"/>
              <w:end w:w="110" w:type="dxa"/>
            </w:tcMar>
            <w:tcBorders>
              <w:bottom w:val="single" w:sz="6" w:color="000000"/>
            </w:tcBorders>
          </w:tcPr>
          <w:p>
            <w:pPr>
              <w:keepLines w:val="0"/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</w:rPr>
              <w:t>Карионов В.В.</w:t>
            </w:r>
          </w:p>
        </w:tc>
      </w:tr>
      <w:tr>
        <w:tc>
          <w:tcPr>
            <w:tcW w:type="dxa" w:w="4479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</w:rPr>
              <w:t>Преподаватель</w:t>
            </w:r>
          </w:p>
        </w:tc>
        <w:tc>
          <w:tcPr>
            <w:tcW w:type="dxa" w:w="4479"/>
            <w:tcMar>
              <w:top w:w="110" w:type="dxa"/>
              <w:start w:w="110" w:type="dxa"/>
              <w:bottom w:w="110" w:type="dxa"/>
              <w:end w:w="110" w:type="dxa"/>
            </w:tcMar>
            <w:tcBorders>
              <w:bottom w:val="single" w:sz="6" w:color="000000"/>
            </w:tcBorders>
          </w:tcPr>
          <w:p>
            <w:pPr>
              <w:keepLines w:val="0"/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</w:rPr>
              <w:t>Елкин Н.С.</w:t>
            </w:r>
          </w:p>
        </w:tc>
      </w:tr>
    </w:tbl>
    <w:sectPr w:rsidR="00FC693F" w:rsidRPr="0006063C" w:rsidSect="00034616">
      <w:pgSz w:w="11906" w:h="16838"/>
      <w:pgMar w:top="1134" w:right="850" w:bottom="1134" w:left="1701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практической работе 9</dc:title>
  <dc:subject>Слои приложения и замена хранилища</dc:subject>
  <dc:creator>Карионов В.В.</dc:creator>
  <cp:keywords>JVM, Java, КБЖУ, практическая работа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