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360" w:lineRule="auto" w:before="0" w:after="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Практическая работа 11</w:t>
      </w:r>
    </w:p>
    <w:p>
      <w:pPr>
        <w:keepLines/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SQLITE, JDBC И ПАРАМЕТРИЗОВАННЫЕ ЗАПРОСЫ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Цель работы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Заменить адаптер памяти на SQLite через JDBC, использовать PreparedStatement и подтвердить сохранение данных после повторного открытия.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Описание программы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SqliteNutritionPlanRepository реализует прежний порт. При старте создаётся схема с ограничениями, а CRUD-операции выполняются параметризованными запросами.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Общие сведения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SQLite хранит данные в локальном файле. JDBC управляет Connection, PreparedStatement и ResultSet; значения пользователя передаются параметрами, а не склеиваются с SQL.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Функциональное назначение и ограничения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Планы сохраняются между запусками и читаются тем же сервисом. Ограничение уникальности превращается в понятный предметный отказ.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Решение локальное и однопользовательское. Схема ограничивает обязательные поля, допустимые состояния и уникальность нормализованного названия.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Логическая структура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Репозиторий открывает соединение, создаёт таблицу, подготавливает SQL, устанавливает параметры и преобразует строки ResultSet в NutritionPlan. Ресурсы закрываются try-with-resources.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Используемые технические средства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SQLite, JDBC, sqlite-jdbc, PreparedStatement, Gradle и интеграционные тесты с временной БД.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Входные и выходные данные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Входные данные.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Предметный объект и путь к файлу БД; SQL-параметры.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Выходные данные.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Сохранённые строки, восстановленные объекты либо предметная ошибка ограничения.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Контрольные сценарии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6E6"/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Компонент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6E6"/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Ответственность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6E6"/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Проверка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Пользовательский интерфейс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Ввод и обратная связь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UI-снимки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Прикладная логика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Сценарии и правила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Автотесты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Данные/инфраструктура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Состояние и хранение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Протокол запуска</w:t>
            </w:r>
          </w:p>
        </w:tc>
      </w:tr>
    </w:tbl>
    <w:p>
      <w:r>
        <w:br w:type="page"/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Ход работы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Проект собран и проверен по командам из README и протокола проверки. Ниже приведены фактические фрагменты реализации и результаты запусков; учебные изображения преподавателя не использовались.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1. Проверка БД. Фактическое состояние получено при запуске проекта и сохранено в каталоге docs/evidence. Оно подтверждает соответствующий пользовательский сценарий и отсутствие аварийного завершения.</w:t>
      </w:r>
    </w:p>
    <w:p>
      <w:pPr>
        <w:keepNext/>
        <w:keepLines/>
        <w:spacing w:line="360" w:lineRule="auto"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16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dem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6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1 – JDBC, повторное открытие и ограничения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2. Начальное окно. Фактическое состояние получено при запуске проекта и сохранено в каталоге docs/evidence. Оно подтверждает соответствующий пользовательский сценарий и отсутствие аварийного завершения.</w:t>
      </w:r>
    </w:p>
    <w:p>
      <w:pPr>
        <w:keepNext/>
        <w:keepLines/>
        <w:spacing w:line="360" w:lineRule="auto"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656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niti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56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2 – Приложение с SQLite-адаптером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3. Стабильный ID. Фактическое состояние получено при запуске проекта и сохранено в каталоге docs/evidence. Оно подтверждает соответствующий пользовательский сценарий и отсутствие аварийного завершения.</w:t>
      </w:r>
    </w:p>
    <w:p>
      <w:pPr>
        <w:keepNext/>
        <w:keepLines/>
        <w:spacing w:line="360" w:lineRule="auto"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656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stable-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56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3 – Запись после повторных операций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Вывод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Порт репозитория реализован на SQLite без изменения UI и домена. PreparedStatement безопасно передаёт значения, данные переживают повторное открытие, а ограничения схемы поддерживают инварианты.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479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Студент группы 090302-ИСТа-023</w:t>
            </w:r>
          </w:p>
        </w:tc>
        <w:tc>
          <w:tcPr>
            <w:tcW w:type="dxa" w:w="447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bottom w:val="single" w:sz="6" w:color="000000"/>
            </w:tcBorders>
          </w:tcPr>
          <w:p>
            <w:pPr>
              <w:keepLines w:val="0"/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Карионов В.В.</w:t>
            </w:r>
          </w:p>
        </w:tc>
      </w:tr>
      <w:tr>
        <w:tc>
          <w:tcPr>
            <w:tcW w:type="dxa" w:w="4479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Преподаватель</w:t>
            </w:r>
          </w:p>
        </w:tc>
        <w:tc>
          <w:tcPr>
            <w:tcW w:type="dxa" w:w="4479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bottom w:val="single" w:sz="6" w:color="000000"/>
            </w:tcBorders>
          </w:tcPr>
          <w:p>
            <w:pPr>
              <w:keepLines w:val="0"/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Елкин Н.С.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 11</dc:title>
  <dc:subject>Sqlite, jdbc и параметризованные запросы</dc:subject>
  <dc:creator>Карионов В.В.</dc:creator>
  <cp:keywords>JVM, Java, КБЖУ, практическая работа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