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line="360" w:lineRule="auto" w:before="0" w:after="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Практическая работа 12</w:t>
      </w:r>
    </w:p>
    <w:p>
      <w:pPr>
        <w:keepLines/>
        <w:spacing w:line="360" w:lineRule="auto" w:before="0" w:after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ТРАНЗАКЦИИ, МИГРАЦИИ И CSV-ИМПОРТ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Цель работы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Реализовать атомарный CSV-импорт и версионирование схемы миграциями V001–V002, проверить полный rollback и сохранение ранее созданных данных.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Описание программы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Импортёр читает CSV, проверяет строки и сохраняет пакет в одной транзакции. Мигратор последовательно применяет недостающие версии и фиксирует их в таблице истории.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Общие сведения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Транзакция обеспечивает принцип «всё или ничего». При дубликате или ошибке любой строки выполняется rollback. Миграции не повторяются и не удаляют старые данные.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Функциональное назначение и ограничения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Пользователь может импортировать корректный пакет планов. Повторный запуск мигратора безопасен, а обновление схемы сохраняет совместимость с существующей БД.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CSV должен соответствовать ожидаемым колонкам и форматам. Импорт локальный; конфликт уникальности отменяет весь пакет, частичный результат не допускается.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Логическая структура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Соединение переводится в ручной commit. После разбора и проверок выполняются параметризованные вставки; успех завершается commit, исключение — rollback. Мигратор читает текущую версию и применяет V001, затем V002 ровно один раз.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Используемые технические средства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Java 25, SQLite JDBC, PreparedStatement, транзакции, CSV-разбор, Gradle и интеграционные тесты.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Входные и выходные данные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 xml:space="preserve">Входные данные.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CSV-файл с планами и существующая SQLite-БД определённой версии.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 xml:space="preserve">Выходные данные.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Полностью сохранённый пакет или неизменённая БД; актуальная версия схемы и история миграций.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Контрольные сценарии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6E6"/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6E6"/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Ответственность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6E6"/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Проверка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Пользовательский интерфейс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Ввод и обратная связь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UI-снимки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Прикладная логика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Сценарии и правила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Автотесты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Данные/инфраструктура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Состояние и хранение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Протокол запуска</w:t>
            </w:r>
          </w:p>
        </w:tc>
      </w:tr>
    </w:tbl>
    <w:p>
      <w:r>
        <w:br w:type="page"/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Ход работы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Проект собран и проверен по командам из README и протокола проверки. Ниже приведены фактические фрагменты реализации и результаты запусков; учебные изображения преподавателя не использовались.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1. Транзакционный сценарий. Фактическое состояние получено при запуске проекта и сохранено в каталоге docs/evidence. Оно подтверждает соответствующий пользовательский сценарий и отсутствие аварийного завершения.</w:t>
      </w:r>
    </w:p>
    <w:p>
      <w:pPr>
        <w:keepNext/>
        <w:keepLines/>
        <w:spacing w:line="36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16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2_dem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6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360" w:lineRule="auto" w:before="0" w:after="8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1 – Импорт, rollback и повтор миграций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2. Интерфейс после миграций. Фактическое состояние получено при запуске проекта и сохранено в каталоге docs/evidence. Оно подтверждает соответствующий пользовательский сценарий и отсутствие аварийного завершения.</w:t>
      </w:r>
    </w:p>
    <w:p>
      <w:pPr>
        <w:keepNext/>
        <w:keepLines/>
        <w:spacing w:line="36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656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initi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656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360" w:lineRule="auto" w:before="0" w:after="8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2 – Работа приложения на обновлённой схеме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3. Сохранение старых данных. Фактическое состояние получено при запуске проекта и сохранено в каталоге docs/evidence. Оно подтверждает соответствующий пользовательский сценарий и отсутствие аварийного завершения.</w:t>
      </w:r>
    </w:p>
    <w:p>
      <w:pPr>
        <w:keepNext/>
        <w:keepLines/>
        <w:spacing w:line="36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656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stable-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656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360" w:lineRule="auto" w:before="0" w:after="8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3 – Устойчивые записи после обновления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Вывод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Реализованы атомарный импорт и управляемая эволюция схемы. Ошибка одной CSV-строки отменяет пакет целиком, V001–V002 применяются однократно, а прежние данные сохраняются.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77"/>
        <w:gridCol w:w="4677"/>
      </w:tblGrid>
      <w:tr>
        <w:tc>
          <w:tcPr>
            <w:tcW w:type="dxa" w:w="4479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Студент группы 090302-ИСТа-023</w:t>
            </w:r>
          </w:p>
        </w:tc>
        <w:tc>
          <w:tcPr>
            <w:tcW w:type="dxa" w:w="4479"/>
            <w:tcMar>
              <w:top w:w="110" w:type="dxa"/>
              <w:start w:w="110" w:type="dxa"/>
              <w:bottom w:w="110" w:type="dxa"/>
              <w:end w:w="110" w:type="dxa"/>
            </w:tcMar>
            <w:tcBorders>
              <w:bottom w:val="single" w:sz="6" w:color="000000"/>
            </w:tcBorders>
          </w:tcPr>
          <w:p>
            <w:pPr>
              <w:keepLines w:val="0"/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Карионов В.В.</w:t>
            </w:r>
          </w:p>
        </w:tc>
      </w:tr>
      <w:tr>
        <w:tc>
          <w:tcPr>
            <w:tcW w:type="dxa" w:w="4479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Преподаватель</w:t>
            </w:r>
          </w:p>
        </w:tc>
        <w:tc>
          <w:tcPr>
            <w:tcW w:type="dxa" w:w="4479"/>
            <w:tcMar>
              <w:top w:w="110" w:type="dxa"/>
              <w:start w:w="110" w:type="dxa"/>
              <w:bottom w:w="110" w:type="dxa"/>
              <w:end w:w="110" w:type="dxa"/>
            </w:tcMar>
            <w:tcBorders>
              <w:bottom w:val="single" w:sz="6" w:color="000000"/>
            </w:tcBorders>
          </w:tcPr>
          <w:p>
            <w:pPr>
              <w:keepLines w:val="0"/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Елкин Н.С.</w:t>
            </w:r>
          </w:p>
        </w:tc>
      </w:tr>
    </w:tbl>
    <w:sectPr w:rsidR="00FC693F" w:rsidRPr="0006063C" w:rsidSect="00034616">
      <w:pgSz w:w="11906" w:h="16838"/>
      <w:pgMar w:top="1134" w:right="850" w:bottom="1134" w:left="170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практической работе 12</dc:title>
  <dc:subject>Транзакции, миграции и csv-импорт</dc:subject>
  <dc:creator>Карионов В.В.</dc:creator>
  <cp:keywords>JVM, Java, КБЖУ, практическая работа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