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YANGON, MYANMAR (MMRGN)</w:t>
            </w:r>
          </w:p>
        </w:tc>
      </w:tr>
      <w:tr>
        <w:tc>
          <w:tcPr>
            <w:tcW w:type="dxa" w:w="4320"/>
          </w:tcPr>
          <w:p>
            <w:r>
              <w:t>Container Count</w:t>
            </w:r>
          </w:p>
        </w:tc>
        <w:tc>
          <w:tcPr>
            <w:tcW w:type="dxa" w:w="4320"/>
          </w:tcPr>
          <w:p>
            <w:r>
              <w:t>4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81,100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Voyage</w:t>
            </w:r>
          </w:p>
        </w:tc>
        <w:tc>
          <w:tcPr>
            <w:tcW w:type="dxa" w:w="4320"/>
          </w:tcPr>
          <w:p>
            <w:r>
              <w:t>BS012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48025500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MCLSINJEA2580170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5ALT-46226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