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HABRAS INTERNATIONAL LIMITED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HABRAS INTERNATIONAL LIMITED</w:t>
            </w:r>
          </w:p>
        </w:tc>
      </w:tr>
      <w:tr>
        <w:tc>
          <w:tcPr>
            <w:tcW w:type="dxa" w:w="4320"/>
          </w:tcPr>
          <w:p>
            <w:r>
              <w:t>Load Port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CEBU, PHILIPPINES (MMRGN)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8 x 40'HC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132,006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LE HAVRE V.QI540A</w:t>
            </w:r>
          </w:p>
        </w:tc>
      </w:tr>
      <w:tr>
        <w:tc>
          <w:tcPr>
            <w:tcW w:type="dxa" w:w="4320"/>
          </w:tcPr>
          <w:p>
            <w:r>
              <w:t>Voy.</w:t>
            </w:r>
          </w:p>
        </w:tc>
        <w:tc>
          <w:tcPr>
            <w:tcW w:type="dxa" w:w="4320"/>
          </w:tcPr>
          <w:p>
            <w:r>
              <w:t>051NW1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Bill of Lading No.</w:t>
            </w:r>
          </w:p>
        </w:tc>
        <w:tc>
          <w:tcPr>
            <w:tcW w:type="dxa" w:w="4320"/>
          </w:tcPr>
          <w:p>
            <w:r>
              <w:t>YMJAI566246287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I334270866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