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YANGON, MYANMAR (MMRGN)</w:t>
            </w:r>
          </w:p>
        </w:tc>
        <w:tc>
          <w:tcPr>
            <w:tcW w:type="dxa" w:w="665"/>
          </w:tcPr>
          <w:p>
            <w:r>
              <w:t>4 x 40'HC</w:t>
            </w:r>
          </w:p>
        </w:tc>
        <w:tc>
          <w:tcPr>
            <w:tcW w:type="dxa" w:w="665"/>
          </w:tcPr>
          <w:p>
            <w:r>
              <w:t>81,100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MCLSIN3910651</w:t>
            </w:r>
          </w:p>
        </w:tc>
        <w:tc>
          <w:tcPr>
            <w:tcW w:type="dxa" w:w="665"/>
          </w:tcPr>
          <w:p>
            <w:r>
              <w:t>MCLSINJEA2580170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