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HABRAS INTERNATIONAL LIMITED</w:t>
            </w:r>
          </w:p>
        </w:tc>
        <w:tc>
          <w:tcPr>
            <w:tcW w:type="dxa" w:w="665"/>
          </w:tcPr>
          <w:p>
            <w:r>
              <w:t>HABRAS INTERNATIONAL LIMITED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CEBU, PHILIPPINES (MMRGN)</w:t>
            </w:r>
          </w:p>
        </w:tc>
        <w:tc>
          <w:tcPr>
            <w:tcW w:type="dxa" w:w="665"/>
          </w:tcPr>
          <w:p>
            <w:r>
              <w:t>8 x 40'HC</w:t>
            </w:r>
          </w:p>
        </w:tc>
        <w:tc>
          <w:tcPr>
            <w:tcW w:type="dxa" w:w="665"/>
          </w:tcPr>
          <w:p>
            <w:r>
              <w:t>132,006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YMJAI566246287</w:t>
            </w:r>
          </w:p>
        </w:tc>
        <w:tc>
          <w:tcPr>
            <w:tcW w:type="dxa" w:w="665"/>
          </w:tcPr>
          <w:p>
            <w:r>
              <w:t>I334270866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