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CLIFFORD PAPER INC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BALTIMORE, US (USBAL)</w:t>
            </w:r>
          </w:p>
        </w:tc>
        <w:tc>
          <w:tcPr>
            <w:tcW w:type="dxa" w:w="665"/>
          </w:tcPr>
          <w:p>
            <w:r>
              <w:t>1 x 40'HC</w:t>
            </w:r>
          </w:p>
        </w:tc>
        <w:tc>
          <w:tcPr>
            <w:tcW w:type="dxa" w:w="665"/>
          </w:tcPr>
          <w:p>
            <w:r>
              <w:t>20,370 KG</w:t>
            </w:r>
          </w:p>
        </w:tc>
        <w:tc>
          <w:tcPr>
            <w:tcW w:type="dxa" w:w="665"/>
          </w:tcPr>
          <w:p>
            <w:r>
              <w:t>MMSS 2507 V.257087E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SIJ1277063</w:t>
            </w:r>
          </w:p>
        </w:tc>
        <w:tc>
          <w:tcPr>
            <w:tcW w:type="dxa" w:w="665"/>
          </w:tcPr>
          <w:p>
            <w:r>
              <w:t>SIJ2424154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