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To the Order of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Load Port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3S PAPER PRODUCTS SDN BHD</w:t>
            </w:r>
          </w:p>
        </w:tc>
        <w:tc>
          <w:tcPr>
            <w:tcW w:type="dxa" w:w="665"/>
          </w:tcPr>
          <w:p>
            <w:r>
              <w:t>PACIFIC OFFICE (M) SDN BHD</w:t>
            </w:r>
          </w:p>
        </w:tc>
        <w:tc>
          <w:tcPr>
            <w:tcW w:type="dxa" w:w="665"/>
          </w:tcPr>
          <w:p>
            <w:r>
              <w:t>BUATAN, INDONESIA (IDBUA)</w:t>
            </w:r>
          </w:p>
        </w:tc>
        <w:tc>
          <w:tcPr>
            <w:tcW w:type="dxa" w:w="665"/>
          </w:tcPr>
          <w:p>
            <w:r>
              <w:t>JEBEL ALI, UAE (AEJEA)</w:t>
            </w:r>
          </w:p>
        </w:tc>
        <w:tc>
          <w:tcPr>
            <w:tcW w:type="dxa" w:w="665"/>
          </w:tcPr>
          <w:p>
            <w:r>
              <w:t>15 x 20'GP</w:t>
            </w:r>
          </w:p>
        </w:tc>
        <w:tc>
          <w:tcPr>
            <w:tcW w:type="dxa" w:w="665"/>
          </w:tcPr>
          <w:p>
            <w:r>
              <w:t>310,125 KG</w:t>
            </w:r>
          </w:p>
        </w:tc>
        <w:tc>
          <w:tcPr>
            <w:tcW w:type="dxa" w:w="665"/>
          </w:tcPr>
          <w:p>
            <w:r>
              <w:t>INDO SUKSES 65 V.51NW1</w:t>
            </w:r>
          </w:p>
        </w:tc>
        <w:tc>
          <w:tcPr>
            <w:tcW w:type="dxa" w:w="665"/>
          </w:tcPr>
          <w:p>
            <w:r>
              <w:t>11S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MCLSIN7562208</w:t>
            </w:r>
          </w:p>
        </w:tc>
        <w:tc>
          <w:tcPr>
            <w:tcW w:type="dxa" w:w="665"/>
          </w:tcPr>
          <w:p>
            <w:r>
              <w:t>MCLSINJEA2563536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