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KTP CO., LTD</w:t>
            </w:r>
          </w:p>
        </w:tc>
        <w:tc>
          <w:tcPr>
            <w:tcW w:type="dxa" w:w="617"/>
          </w:tcPr>
          <w:p>
            <w:r>
              <w:t>KTP CO., LTD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CALLAO, PERU (PECLL)</w:t>
            </w:r>
          </w:p>
        </w:tc>
        <w:tc>
          <w:tcPr>
            <w:tcW w:type="dxa" w:w="617"/>
          </w:tcPr>
          <w:p>
            <w:r>
              <w:t>10 x 20'GP</w:t>
            </w:r>
          </w:p>
        </w:tc>
        <w:tc>
          <w:tcPr>
            <w:tcW w:type="dxa" w:w="617"/>
          </w:tcPr>
          <w:p>
            <w:r>
              <w:t>206,510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070500246333</w:t>
            </w:r>
          </w:p>
        </w:tc>
        <w:tc>
          <w:tcPr>
            <w:tcW w:type="dxa" w:w="617"/>
          </w:tcPr>
          <w:p>
            <w:r>
              <w:t>5RFR-12797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