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 (POL)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ORIENT LINKS CO (LLC)</w:t>
            </w:r>
          </w:p>
        </w:tc>
        <w:tc>
          <w:tcPr>
            <w:tcW w:type="dxa" w:w="665"/>
          </w:tcPr>
          <w:p>
            <w:r>
              <w:t>3S PAPER PRODUCTS SDN BHD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7 x 20'GP</w:t>
            </w:r>
          </w:p>
        </w:tc>
        <w:tc>
          <w:tcPr>
            <w:tcW w:type="dxa" w:w="665"/>
          </w:tcPr>
          <w:p>
            <w:r>
              <w:t>132,516 KG</w:t>
            </w:r>
          </w:p>
        </w:tc>
        <w:tc>
          <w:tcPr>
            <w:tcW w:type="dxa" w:w="665"/>
          </w:tcPr>
          <w:p>
            <w:r>
              <w:t>VISION 202 V.002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SIJ2206447</w:t>
            </w:r>
          </w:p>
        </w:tc>
        <w:tc>
          <w:tcPr>
            <w:tcW w:type="dxa" w:w="665"/>
          </w:tcPr>
          <w:p>
            <w:r>
              <w:t>SIJ4212309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