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HABRAS INTERNATIONAL LIMITED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FREMANTLE, AUSTRALIA (CLVAP)</w:t>
            </w:r>
          </w:p>
        </w:tc>
        <w:tc>
          <w:tcPr>
            <w:tcW w:type="dxa" w:w="665"/>
          </w:tcPr>
          <w:p>
            <w:r>
              <w:t>12 x 40'HC</w:t>
            </w:r>
          </w:p>
        </w:tc>
        <w:tc>
          <w:tcPr>
            <w:tcW w:type="dxa" w:w="665"/>
          </w:tcPr>
          <w:p>
            <w:r>
              <w:t>262,224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MEDUUD690705</w:t>
            </w:r>
          </w:p>
        </w:tc>
        <w:tc>
          <w:tcPr>
            <w:tcW w:type="dxa" w:w="665"/>
          </w:tcPr>
          <w:p>
            <w:r>
              <w:t>MSDUL0942562608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