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FREMANTLE, AUSTRALIA (AUFRE)</w:t>
            </w:r>
          </w:p>
        </w:tc>
        <w:tc>
          <w:tcPr>
            <w:tcW w:type="dxa" w:w="665"/>
          </w:tcPr>
          <w:p>
            <w:r>
              <w:t>12 x 20'FCL</w:t>
            </w:r>
          </w:p>
        </w:tc>
        <w:tc>
          <w:tcPr>
            <w:tcW w:type="dxa" w:w="665"/>
          </w:tcPr>
          <w:p>
            <w:r>
              <w:t>271,932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SIN163234672</w:t>
            </w:r>
          </w:p>
        </w:tc>
        <w:tc>
          <w:tcPr>
            <w:tcW w:type="dxa" w:w="665"/>
          </w:tcPr>
          <w:p>
            <w:r>
              <w:t>SIN994938743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