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 (Principal or Seller)</w:t>
            </w:r>
          </w:p>
        </w:tc>
        <w:tc>
          <w:tcPr>
            <w:tcW w:type="dxa" w:w="665"/>
          </w:tcPr>
          <w:p>
            <w:r>
              <w:t>Consignee (Non-Negotiable)</w:t>
            </w:r>
          </w:p>
        </w:tc>
        <w:tc>
          <w:tcPr>
            <w:tcW w:type="dxa" w:w="665"/>
          </w:tcPr>
          <w:p>
            <w:r>
              <w:t>Notify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Port of Discharge (POD)</w:t>
            </w:r>
          </w:p>
        </w:tc>
        <w:tc>
          <w:tcPr>
            <w:tcW w:type="dxa" w:w="665"/>
          </w:tcPr>
          <w:p>
            <w:r>
              <w:t>No. of Containers or Packages</w:t>
            </w:r>
          </w:p>
        </w:tc>
        <w:tc>
          <w:tcPr>
            <w:tcW w:type="dxa" w:w="665"/>
          </w:tcPr>
          <w:p>
            <w:r>
              <w:t>Gross Weight毛重(KGS)</w:t>
            </w:r>
          </w:p>
        </w:tc>
        <w:tc>
          <w:tcPr>
            <w:tcW w:type="dxa" w:w="665"/>
          </w:tcPr>
          <w:p>
            <w:r>
              <w:t>Export Carrier (vessel, voyage)</w:t>
            </w:r>
          </w:p>
        </w:tc>
        <w:tc>
          <w:tcPr>
            <w:tcW w:type="dxa" w:w="665"/>
          </w:tcPr>
          <w:p>
            <w:r>
              <w:t>Voy.</w:t>
            </w:r>
          </w:p>
        </w:tc>
        <w:tc>
          <w:tcPr>
            <w:tcW w:type="dxa" w:w="665"/>
          </w:tcPr>
          <w:p>
            <w:r>
              <w:t>Commodity</w:t>
            </w:r>
          </w:p>
        </w:tc>
        <w:tc>
          <w:tcPr>
            <w:tcW w:type="dxa" w:w="665"/>
          </w:tcPr>
          <w:p>
            <w:r>
              <w:t>Bill of Lading No.</w:t>
            </w:r>
          </w:p>
        </w:tc>
        <w:tc>
          <w:tcPr>
            <w:tcW w:type="dxa" w:w="665"/>
          </w:tcPr>
          <w:p>
            <w:r>
              <w:t>Booking Ref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</w:t>
            </w:r>
          </w:p>
        </w:tc>
        <w:tc>
          <w:tcPr>
            <w:tcW w:type="dxa" w:w="665"/>
          </w:tcPr>
          <w:p>
            <w:r>
              <w:t>ORIENT LINKS CO (LLC)</w:t>
            </w:r>
          </w:p>
        </w:tc>
        <w:tc>
          <w:tcPr>
            <w:tcW w:type="dxa" w:w="665"/>
          </w:tcPr>
          <w:p>
            <w:r>
              <w:t>INTERNATIONAL FOREST PRODUCTS LLC</w:t>
            </w:r>
          </w:p>
        </w:tc>
        <w:tc>
          <w:tcPr>
            <w:tcW w:type="dxa" w:w="665"/>
          </w:tcPr>
          <w:p>
            <w:r>
              <w:t>RUGAO/NANTONG/SHANGHAI, CHINA (CNSHA)</w:t>
            </w:r>
          </w:p>
        </w:tc>
        <w:tc>
          <w:tcPr>
            <w:tcW w:type="dxa" w:w="665"/>
          </w:tcPr>
          <w:p>
            <w:r>
              <w:t>JEBEL ALI, UAE (AEJEA)</w:t>
            </w:r>
          </w:p>
        </w:tc>
        <w:tc>
          <w:tcPr>
            <w:tcW w:type="dxa" w:w="665"/>
          </w:tcPr>
          <w:p>
            <w:r>
              <w:t>15 x 20'FCL</w:t>
            </w:r>
          </w:p>
        </w:tc>
        <w:tc>
          <w:tcPr>
            <w:tcW w:type="dxa" w:w="665"/>
          </w:tcPr>
          <w:p>
            <w:r>
              <w:t>334,845 KG</w:t>
            </w:r>
          </w:p>
        </w:tc>
        <w:tc>
          <w:tcPr>
            <w:tcW w:type="dxa" w:w="665"/>
          </w:tcPr>
          <w:p>
            <w:r>
              <w:t>LE HAVRE V.QI540A</w:t>
            </w:r>
          </w:p>
        </w:tc>
        <w:tc>
          <w:tcPr>
            <w:tcW w:type="dxa" w:w="665"/>
          </w:tcPr>
          <w:p>
            <w:r>
              <w:t>BS291</w:t>
            </w:r>
          </w:p>
        </w:tc>
        <w:tc>
          <w:tcPr>
            <w:tcW w:type="dxa" w:w="665"/>
          </w:tcPr>
          <w:p>
            <w:r>
              <w:t>ASIA SYMBOL FOOD SERVICE BOARD (CUPSTOCK/HI-BULK) - ALLINONE</w:t>
            </w:r>
          </w:p>
        </w:tc>
        <w:tc>
          <w:tcPr>
            <w:tcW w:type="dxa" w:w="665"/>
          </w:tcPr>
          <w:p>
            <w:r>
              <w:t>YMJAI344149782</w:t>
            </w:r>
          </w:p>
        </w:tc>
        <w:tc>
          <w:tcPr>
            <w:tcW w:type="dxa" w:w="665"/>
          </w:tcPr>
          <w:p>
            <w:r>
              <w:t>I661287585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