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HABRAS INTERNATIONAL LIMITED</w:t>
            </w:r>
          </w:p>
        </w:tc>
        <w:tc>
          <w:tcPr>
            <w:tcW w:type="dxa" w:w="665"/>
          </w:tcPr>
          <w:p>
            <w:r>
              <w:t>HABRAS INTERNATIONAL LIMITED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LONG BEACH, US (USLGB)</w:t>
            </w:r>
          </w:p>
        </w:tc>
        <w:tc>
          <w:tcPr>
            <w:tcW w:type="dxa" w:w="665"/>
          </w:tcPr>
          <w:p>
            <w:r>
              <w:t>4 x 20'FCL</w:t>
            </w:r>
          </w:p>
        </w:tc>
        <w:tc>
          <w:tcPr>
            <w:tcW w:type="dxa" w:w="665"/>
          </w:tcPr>
          <w:p>
            <w:r>
              <w:t>82,932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SINF11325797</w:t>
            </w:r>
          </w:p>
        </w:tc>
        <w:tc>
          <w:tcPr>
            <w:tcW w:type="dxa" w:w="665"/>
          </w:tcPr>
          <w:p>
            <w:r>
              <w:t>ONEYSINF06734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