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ORIENT LINKS CO (LLC)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BUATAN, INDONESIA (IDBUA)</w:t>
            </w:r>
          </w:p>
        </w:tc>
        <w:tc>
          <w:tcPr>
            <w:tcW w:type="dxa" w:w="665"/>
          </w:tcPr>
          <w:p>
            <w:r>
              <w:t>PYEONGTAEK, SOUTH KOREA (KRPTK)</w:t>
            </w:r>
          </w:p>
        </w:tc>
        <w:tc>
          <w:tcPr>
            <w:tcW w:type="dxa" w:w="665"/>
          </w:tcPr>
          <w:p>
            <w:r>
              <w:t>10 x 20'FCL</w:t>
            </w:r>
          </w:p>
        </w:tc>
        <w:tc>
          <w:tcPr>
            <w:tcW w:type="dxa" w:w="665"/>
          </w:tcPr>
          <w:p>
            <w:r>
              <w:t>236,690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EGLV260055955017</w:t>
            </w:r>
          </w:p>
        </w:tc>
        <w:tc>
          <w:tcPr>
            <w:tcW w:type="dxa" w:w="665"/>
          </w:tcPr>
          <w:p>
            <w:r>
              <w:t>070500283325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