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To the Order of</w:t>
            </w:r>
          </w:p>
        </w:tc>
        <w:tc>
          <w:tcPr>
            <w:tcW w:type="dxa" w:w="2160"/>
          </w:tcPr>
          <w:p>
            <w:r>
              <w:t>CERIEX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CERIEX</w:t>
            </w:r>
          </w:p>
        </w:tc>
        <w:tc>
          <w:tcPr>
            <w:tcW w:type="dxa" w:w="2160"/>
          </w:tcPr>
          <w:p>
            <w:r>
              <w:t>Port of Loading (POL)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Port of Discharge (POD)</w:t>
            </w:r>
          </w:p>
        </w:tc>
        <w:tc>
          <w:tcPr>
            <w:tcW w:type="dxa" w:w="2160"/>
          </w:tcPr>
          <w:p>
            <w:r>
              <w:t>APAPA, NIGERIA (NGAPP)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4 x 20'GP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94,380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INDO SUKSES 65 V.51NW1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11S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Bill of Lading No.</w:t>
            </w:r>
          </w:p>
        </w:tc>
        <w:tc>
          <w:tcPr>
            <w:tcW w:type="dxa" w:w="2160"/>
          </w:tcPr>
          <w:p>
            <w:r>
              <w:t>SINF10725636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ONEYSINF69411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