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YANGON, MYANMAR (MMRGN)</w:t>
            </w:r>
          </w:p>
        </w:tc>
        <w:tc>
          <w:tcPr>
            <w:tcW w:type="dxa" w:w="617"/>
          </w:tcPr>
          <w:p>
            <w:r>
              <w:t>4 x 40'HC</w:t>
            </w:r>
          </w:p>
        </w:tc>
        <w:tc>
          <w:tcPr>
            <w:tcW w:type="dxa" w:w="617"/>
          </w:tcPr>
          <w:p>
            <w:r>
              <w:t>81,100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MCLSINJEA2580170</w:t>
            </w:r>
          </w:p>
        </w:tc>
        <w:tc>
          <w:tcPr>
            <w:tcW w:type="dxa" w:w="617"/>
          </w:tcPr>
          <w:p>
            <w:r>
              <w:t>5ALT-46226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