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CEBU, PHILIPPINES (MMRGN)</w:t>
            </w:r>
          </w:p>
        </w:tc>
        <w:tc>
          <w:tcPr>
            <w:tcW w:type="dxa" w:w="665"/>
          </w:tcPr>
          <w:p>
            <w:r>
              <w:t>8 x 40'HC</w:t>
            </w:r>
          </w:p>
        </w:tc>
        <w:tc>
          <w:tcPr>
            <w:tcW w:type="dxa" w:w="665"/>
          </w:tcPr>
          <w:p>
            <w:r>
              <w:t>132,006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051NW1</w:t>
            </w:r>
          </w:p>
        </w:tc>
        <w:tc>
          <w:tcPr>
            <w:tcW w:type="dxa" w:w="665"/>
          </w:tcPr>
          <w:p>
            <w:r>
              <w:t>COATED IVORY BOARD</w:t>
            </w:r>
          </w:p>
        </w:tc>
        <w:tc>
          <w:tcPr>
            <w:tcW w:type="dxa" w:w="665"/>
          </w:tcPr>
          <w:p>
            <w:r>
              <w:t>YMJAI566246287</w:t>
            </w:r>
          </w:p>
        </w:tc>
        <w:tc>
          <w:tcPr>
            <w:tcW w:type="dxa" w:w="665"/>
          </w:tcPr>
          <w:p>
            <w:r>
              <w:t>I334270866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