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BUATAN, INDONESIA (INNSA)</w:t>
            </w:r>
          </w:p>
        </w:tc>
        <w:tc>
          <w:tcPr>
            <w:tcW w:type="dxa" w:w="665"/>
          </w:tcPr>
          <w:p>
            <w:r>
              <w:t>TUTICORIN, INDIA (ILASH)</w:t>
            </w:r>
          </w:p>
        </w:tc>
        <w:tc>
          <w:tcPr>
            <w:tcW w:type="dxa" w:w="665"/>
          </w:tcPr>
          <w:p>
            <w:r>
              <w:t>6 x 40'HC</w:t>
            </w:r>
          </w:p>
        </w:tc>
        <w:tc>
          <w:tcPr>
            <w:tcW w:type="dxa" w:w="665"/>
          </w:tcPr>
          <w:p>
            <w:r>
              <w:t>124,188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051NW1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MEDUUD851587</w:t>
            </w:r>
          </w:p>
        </w:tc>
        <w:tc>
          <w:tcPr>
            <w:tcW w:type="dxa" w:w="665"/>
          </w:tcPr>
          <w:p>
            <w:r>
              <w:t>MSDUL0942599684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