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ORIENT LINKS CO (LLC)</w:t>
            </w:r>
          </w:p>
        </w:tc>
        <w:tc>
          <w:tcPr>
            <w:tcW w:type="dxa" w:w="665"/>
          </w:tcPr>
          <w:p>
            <w:r>
              <w:t>3S PAPER PRODUCTS SDN BHD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CALLAO, PERU (PECLL)</w:t>
            </w:r>
          </w:p>
        </w:tc>
        <w:tc>
          <w:tcPr>
            <w:tcW w:type="dxa" w:w="665"/>
          </w:tcPr>
          <w:p>
            <w:r>
              <w:t>7 x 20'GP</w:t>
            </w:r>
          </w:p>
        </w:tc>
        <w:tc>
          <w:tcPr>
            <w:tcW w:type="dxa" w:w="665"/>
          </w:tcPr>
          <w:p>
            <w:r>
              <w:t>132,516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QI540A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SIJ2206447</w:t>
            </w:r>
          </w:p>
        </w:tc>
        <w:tc>
          <w:tcPr>
            <w:tcW w:type="dxa" w:w="665"/>
          </w:tcPr>
          <w:p>
            <w:r>
              <w:t>SIJ4212309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