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VITAL SOLUTIONS PTE. LTD.</w:t>
            </w:r>
          </w:p>
        </w:tc>
        <w:tc>
          <w:tcPr>
            <w:tcW w:type="dxa" w:w="665"/>
          </w:tcPr>
          <w:p>
            <w:r>
              <w:t>KTP CO., LTD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KOPER, SLOVENIA (SIKOP)</w:t>
            </w:r>
          </w:p>
        </w:tc>
        <w:tc>
          <w:tcPr>
            <w:tcW w:type="dxa" w:w="665"/>
          </w:tcPr>
          <w:p>
            <w:r>
              <w:t>1 x 20'GP</w:t>
            </w:r>
          </w:p>
        </w:tc>
        <w:tc>
          <w:tcPr>
            <w:tcW w:type="dxa" w:w="665"/>
          </w:tcPr>
          <w:p>
            <w:r>
              <w:t>21,895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HLCUSIN032963347</w:t>
            </w:r>
          </w:p>
        </w:tc>
        <w:tc>
          <w:tcPr>
            <w:tcW w:type="dxa" w:w="665"/>
          </w:tcPr>
          <w:p>
            <w:r>
              <w:t>27274231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