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YANGON, MYANMAR (MMRGN)</w:t>
            </w:r>
          </w:p>
        </w:tc>
        <w:tc>
          <w:tcPr>
            <w:tcW w:type="dxa" w:w="665"/>
          </w:tcPr>
          <w:p>
            <w:r>
              <w:t>6 x 20'FCL</w:t>
            </w:r>
          </w:p>
        </w:tc>
        <w:tc>
          <w:tcPr>
            <w:tcW w:type="dxa" w:w="665"/>
          </w:tcPr>
          <w:p>
            <w:r>
              <w:t>126,870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MCLSIN4760440</w:t>
            </w:r>
          </w:p>
        </w:tc>
        <w:tc>
          <w:tcPr>
            <w:tcW w:type="dxa" w:w="665"/>
          </w:tcPr>
          <w:p>
            <w:r>
              <w:t>MCLSINJEA2590797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