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YANGON, MYANMAR (MMRGN)</w:t>
            </w:r>
          </w:p>
        </w:tc>
        <w:tc>
          <w:tcPr>
            <w:tcW w:type="dxa" w:w="617"/>
          </w:tcPr>
          <w:p>
            <w:r>
              <w:t>6 x 20'FCL</w:t>
            </w:r>
          </w:p>
        </w:tc>
        <w:tc>
          <w:tcPr>
            <w:tcW w:type="dxa" w:w="617"/>
          </w:tcPr>
          <w:p>
            <w:r>
              <w:t>126,870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MCLSINJEA2590797</w:t>
            </w:r>
          </w:p>
        </w:tc>
        <w:tc>
          <w:tcPr>
            <w:tcW w:type="dxa" w:w="617"/>
          </w:tcPr>
          <w:p>
            <w:r>
              <w:t>5RFR-72781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