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INTERNATIONAL FOREST PRODUCTS LLC</w:t>
            </w:r>
          </w:p>
        </w:tc>
        <w:tc>
          <w:tcPr>
            <w:tcW w:type="dxa" w:w="665"/>
          </w:tcPr>
          <w:p>
            <w:r>
              <w:t>INTERNATIONAL FOREST PRODUCTS LLC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KOPER, SLOVENIA (SIKOP)</w:t>
            </w:r>
          </w:p>
        </w:tc>
        <w:tc>
          <w:tcPr>
            <w:tcW w:type="dxa" w:w="665"/>
          </w:tcPr>
          <w:p>
            <w:r>
              <w:t>10 x 40'HC</w:t>
            </w:r>
          </w:p>
        </w:tc>
        <w:tc>
          <w:tcPr>
            <w:tcW w:type="dxa" w:w="665"/>
          </w:tcPr>
          <w:p>
            <w:r>
              <w:t>223,290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SINF03202032</w:t>
            </w:r>
          </w:p>
        </w:tc>
        <w:tc>
          <w:tcPr>
            <w:tcW w:type="dxa" w:w="665"/>
          </w:tcPr>
          <w:p>
            <w:r>
              <w:t>ONEYSINF65097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