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HOCHIMINH CITY, VIETNAM (VNSGN)</w:t>
            </w:r>
          </w:p>
        </w:tc>
        <w:tc>
          <w:tcPr>
            <w:tcW w:type="dxa" w:w="617"/>
          </w:tcPr>
          <w:p>
            <w:r>
              <w:t>12 x 20'GP</w:t>
            </w:r>
          </w:p>
        </w:tc>
        <w:tc>
          <w:tcPr>
            <w:tcW w:type="dxa" w:w="617"/>
          </w:tcPr>
          <w:p>
            <w:r>
              <w:t>268,980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MSDUL0942588899</w:t>
            </w:r>
          </w:p>
        </w:tc>
        <w:tc>
          <w:tcPr>
            <w:tcW w:type="dxa" w:w="617"/>
          </w:tcPr>
          <w:p>
            <w:r>
              <w:t>5APH-57298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