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0F172A"/>
          <w:sz w:val="29"/>
        </w:rPr>
        <w:t>TAIWO HENRY FADENI</w:t>
      </w:r>
    </w:p>
    <w:p>
      <w:pPr>
        <w:spacing w:before="0" w:after="40"/>
        <w:jc w:val="center"/>
      </w:pPr>
      <w:r>
        <w:rPr>
          <w:b/>
          <w:color w:val="2563EB"/>
          <w:sz w:val="17"/>
        </w:rPr>
        <w:t>APPLIED AI &amp; SOFTWARE ENGINEER | LLM SYSTEMS • RAG &amp; AGENT WORKFLOWS • DISTRIBUTED BACKENDS</w:t>
      </w:r>
    </w:p>
    <w:p>
      <w:pPr>
        <w:spacing w:before="0" w:after="80"/>
        <w:jc w:val="center"/>
      </w:pPr>
      <w:r>
        <w:rPr>
          <w:color w:val="475569"/>
          <w:sz w:val="16"/>
        </w:rPr>
        <w:t xml:space="preserve">Lagos, Nigeria (Remote / Relocation)  •  +234 706 616 1980  •  </w:t>
      </w:r>
      <w:hyperlink r:id="rId9">
        <w:r>
          <w:rPr>
            <w:rFonts w:ascii="Calibri" w:hAnsi="Calibri"/>
            <w:sz w:val="16"/>
            <w:color w:val="2563EB"/>
          </w:rPr>
          <w:t>hfadeni@gmail.com</w:t>
        </w:r>
      </w:hyperlink>
      <w:r>
        <w:rPr>
          <w:sz w:val="16"/>
        </w:rPr>
        <w:br/>
      </w:r>
      <w:hyperlink r:id="rId10">
        <w:r>
          <w:rPr>
            <w:rFonts w:ascii="Calibri" w:hAnsi="Calibri"/>
            <w:sz w:val="16"/>
            <w:color w:val="2563EB"/>
          </w:rPr>
          <w:t>Portfolio</w:t>
        </w:r>
      </w:hyperlink>
      <w:r>
        <w:rPr>
          <w:color w:val="475569"/>
          <w:sz w:val="16"/>
        </w:rPr>
        <w:t xml:space="preserve">  •  </w:t>
      </w:r>
      <w:hyperlink r:id="rId11">
        <w:r>
          <w:rPr>
            <w:rFonts w:ascii="Calibri" w:hAnsi="Calibri"/>
            <w:sz w:val="16"/>
            <w:color w:val="2563EB"/>
          </w:rPr>
          <w:t>GitHub</w:t>
        </w:r>
      </w:hyperlink>
      <w:r>
        <w:rPr>
          <w:color w:val="475569"/>
          <w:sz w:val="16"/>
        </w:rPr>
        <w:t xml:space="preserve">  •  </w:t>
      </w:r>
      <w:hyperlink r:id="rId12">
        <w:r>
          <w:rPr>
            <w:rFonts w:ascii="Calibri" w:hAnsi="Calibri"/>
            <w:sz w:val="16"/>
            <w:color w:val="2563EB"/>
          </w:rPr>
          <w:t>LinkedIn</w:t>
        </w:r>
      </w:hyperlink>
    </w:p>
    <w:p>
      <w:pPr>
        <w:keepNext/>
        <w:spacing w:before="6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PROFESSIONAL SUMMARY</w:t>
      </w:r>
    </w:p>
    <w:p>
      <w:pPr>
        <w:spacing w:before="20" w:after="60" w:line="259" w:lineRule="auto"/>
      </w:pPr>
      <w:r>
        <w:rPr>
          <w:sz w:val="16"/>
        </w:rPr>
        <w:t>Applied AI &amp; Software Engineer with an Electrical &amp; Electronics Engineering foundation, specializing in production-grade LLM systems, evaluated RAG architectures, autonomous agent workflows, and high-throughput asynchronous backends. Experienced in building deterministic guardrails, human-in-the-loop controls, automated evaluation suites, and observable asynchronous backend pipelines. Proven track record of shipping end-to-end applications from distributed backend architecture to polished user interfaces.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TECHNICAL SKILLS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Programming Languages: </w:t>
      </w:r>
      <w:r>
        <w:rPr>
          <w:sz w:val="16"/>
        </w:rPr>
        <w:t>Python, SQL (PostgreSQL, DuckDB, SQLite), JavaScript, MATLAB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AI &amp; LLM Systems: </w:t>
      </w:r>
      <w:r>
        <w:rPr>
          <w:sz w:val="16"/>
        </w:rPr>
        <w:t>LangGraph, LangChain, RAG Architecture, Vector Databases (Pinecone, ChromaDB), Embeddings, Semantic Caching, Prompt Engineering, Guardrails &amp; Policy Gates, Structured Outputs (Pydantic), Human-in-the-Loop (HITL), Automated Evaluations (Golden Sets, Spider Benchmark)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Backend &amp; Distributed Systems: </w:t>
      </w:r>
      <w:r>
        <w:rPr>
          <w:sz w:val="16"/>
        </w:rPr>
        <w:t>FastAPI, WebSockets, RESTful APIs, Server-Sent Events (SSE), Celery, Redis (Pub/Sub, Caching, Sliding-Window Rate Limiting), AsyncIO, DuckDB, PostgreSQL, SQLite, Alembic, Pandas, PySpark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Frontend &amp; UI Engineering: </w:t>
      </w:r>
      <w:r>
        <w:rPr>
          <w:sz w:val="16"/>
        </w:rPr>
        <w:t>React, Next.js, State Management, Interactive Data Dashboards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DevOps, Cloud &amp; Observability: </w:t>
      </w:r>
      <w:r>
        <w:rPr>
          <w:sz w:val="16"/>
        </w:rPr>
        <w:t>AWS, Cloudflare, Docker, GitHub Actions (CI/CD), Git, Pytest (80%+ CI Coverage Gates), Prometheus, Grafana, Loki, Supabase, Vercel</w:t>
      </w:r>
    </w:p>
    <w:p>
      <w:pPr>
        <w:spacing w:before="0" w:after="30" w:line="259" w:lineRule="auto"/>
      </w:pPr>
      <w:r>
        <w:rPr>
          <w:b/>
          <w:color w:val="1E293B"/>
          <w:sz w:val="16"/>
        </w:rPr>
        <w:t xml:space="preserve">Automation: </w:t>
      </w:r>
      <w:r>
        <w:rPr>
          <w:sz w:val="16"/>
        </w:rPr>
        <w:t>n8n (self-hosted workflows, webhook orchestration, custom code nodes), event-driven pipelines, scheduled ETL, apps integration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APPLIED AI &amp; BACKEND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Retrieval-Augmented Analytics Workspace (Text-to-SQL)</w:t>
            </w:r>
            <w:r>
              <w:rPr>
                <w:i/>
                <w:color w:val="475569"/>
                <w:sz w:val="16"/>
              </w:rPr>
              <w:t xml:space="preserve"> | FastAPI · DuckDB · sqlglot · Redis · SSE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Natural-language analytics interface executing sandboxed, read-only analytical queries against DuckDB with streamed SSE explanations and dynamic charts.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2-stage AST validation pipeline using sqlglot (enforcing table/column verification, write-query rejection, and injection safeguards) with self-correction retry logic.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Automated evaluation harness across an 80-pair Golden Set (adapted from Spider), achieving 96% SQL validity, 74% execution accuracy, 61% failure self-correction, and ~4.2s p95 latency.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Self-Healing Microservices Monitor (Autonomous SRE Agent)</w:t>
            </w:r>
            <w:r>
              <w:rPr>
                <w:i/>
                <w:color w:val="475569"/>
                <w:sz w:val="16"/>
              </w:rPr>
              <w:t xml:space="preserve"> | LangGraph · ChromaDB · Prometheus · Postgres · React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Incident-response agent integrating Prometheus Alertmanager webhooks, LangGraph multi-step diagnosis, and ChromaDB vector runbook retrieval.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Designed a 4-condition deterministic policy gate (confidence &gt;= 0.75, allowlisted low-risk actions, impact checks, human approval routing) preventing destructive runaway executions with PostgreSQL audit trails.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Scored 100% action and policy correctness across simulated failure scenarios with a live React operator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Distributed Realtime Chat Backend</w:t>
            </w:r>
            <w:r>
              <w:rPr>
                <w:i/>
                <w:color w:val="475569"/>
                <w:sz w:val="16"/>
              </w:rPr>
              <w:t xml:space="preserve"> | FastAPI · WebSockets · Redis Pub/Sub · SQLite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2026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Multi-room WebSocket backend scaling across workers using reference-counted Redis Pub/Sub channels (one channel per active room).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JWT authentication at handshake, Redis-hash presence tracking with multi-device deduplication, and cursor-paginated message history (15 msgs/page); verified by cross-process integration tests for multi-worker delivery and connection fault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Autonomous Code Review Agent (GitHub App)</w:t>
            </w:r>
            <w:r>
              <w:rPr>
                <w:i/>
                <w:color w:val="475569"/>
                <w:sz w:val="16"/>
              </w:rPr>
              <w:t xml:space="preserve"> | Python · FastAPI · LangGraph · Celery · Redis · Docker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2025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Event-driven GitHub App agent that parses pull-request diffs, retrieves relevant file context, and publishes line-level inline reviews and commit statuses.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Decoupled webhook intake from model inference using Celery workers for asynchronous job queuing, with HMAC-SHA256 webhook verification and Redis sliding-window rate limiting.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Built a pluggable multi-provider LLM abstraction (OpenAI, Anthropic, Groq, Ollama) behind an 80% CI code coverage gate.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Automation Engineer</w:t>
            </w:r>
            <w:r>
              <w:rPr>
                <w:i/>
                <w:color w:val="475569"/>
                <w:sz w:val="16"/>
              </w:rPr>
              <w:t xml:space="preserve"> | Cedarstone Business Services (Contract)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Feb 2026 – Jul 2026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Engineered business automation workflows covering proposal preparation, invoice receivables follow-up, and client onboarding.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Implemented automated pricing calculations, multi-tier discount approval routing, dispute-aware payment tracking, and onboarding exception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</w:pPr>
            <w:r>
              <w:rPr>
                <w:b/>
                <w:color w:val="0F172A"/>
                <w:sz w:val="17"/>
              </w:rPr>
              <w:t>Applied AI &amp; Software Engineer</w:t>
            </w:r>
            <w:r>
              <w:rPr>
                <w:i/>
                <w:color w:val="475569"/>
                <w:sz w:val="16"/>
              </w:rPr>
              <w:t xml:space="preserve"> | Meridian Knowledge (Contract)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70" w:after="10"/>
              <w:jc w:val="right"/>
            </w:pPr>
            <w:r>
              <w:rPr>
                <w:b/>
                <w:color w:val="0F172A"/>
                <w:sz w:val="16"/>
              </w:rPr>
              <w:t>May 2024 – Oct 2025</w:t>
            </w:r>
            <w:r>
              <w:rPr>
                <w:sz w:val="15"/>
              </w:rPr>
              <w:t xml:space="preserve">  (Remote)</w:t>
            </w:r>
          </w:p>
        </w:tc>
      </w:tr>
    </w:tbl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Architected multimodal document ingestion pipelines extracting and indexing data from PDFs, scanned forms, and structured records.</w:t>
      </w:r>
    </w:p>
    <w:p>
      <w:pPr>
        <w:pStyle w:val="ListBullet"/>
        <w:spacing w:before="0" w:after="24" w:line="259" w:lineRule="auto"/>
        <w:ind w:left="259"/>
      </w:pPr>
      <w:r>
        <w:rPr>
          <w:color w:val="334155"/>
          <w:sz w:val="16"/>
        </w:rPr>
        <w:t>Integrated LLM extraction with deterministic validation rules, human-in-the-loop review interfaces, and automated quality evaluation suites.</w:t>
      </w:r>
    </w:p>
    <w:p>
      <w:pPr>
        <w:keepNext/>
        <w:spacing w:before="190" w:after="50"/>
        <w:pBdr>
          <w:bottom w:val="single" w:sz="6" w:space="1" w:color="94A3B8"/>
        </w:pBdr>
      </w:pPr>
      <w:r>
        <w:rPr>
          <w:b/>
          <w:color w:val="0F172A"/>
          <w:sz w:val="19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4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</w:pPr>
            <w:r>
              <w:rPr>
                <w:b/>
                <w:color w:val="0F172A"/>
                <w:sz w:val="17"/>
              </w:rPr>
              <w:t>B.Eng., Electrical &amp; Electronics Engineering</w:t>
            </w:r>
            <w:r>
              <w:rPr>
                <w:i/>
                <w:color w:val="475569"/>
                <w:sz w:val="16"/>
              </w:rPr>
              <w:t xml:space="preserve"> | Obafemi Awolowo University</w:t>
            </w:r>
          </w:p>
        </w:tc>
        <w:tc>
          <w:tcPr>
            <w:tcW w:type="dxa" w:w="5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30" w:after="10"/>
              <w:jc w:val="right"/>
            </w:pPr>
            <w:r>
              <w:rPr>
                <w:b/>
                <w:color w:val="0F172A"/>
                <w:sz w:val="16"/>
              </w:rPr>
              <w:t>2019 – 2025</w:t>
            </w:r>
            <w:r>
              <w:rPr>
                <w:sz w:val="15"/>
              </w:rPr>
              <w:t xml:space="preserve">  (Ile-Ife, Nigeria)</w:t>
            </w:r>
          </w:p>
        </w:tc>
      </w:tr>
    </w:tbl>
    <w:p>
      <w:pPr>
        <w:spacing w:before="30" w:after="20"/>
      </w:pPr>
      <w:r>
        <w:rPr>
          <w:b/>
          <w:sz w:val="16"/>
        </w:rPr>
        <w:t xml:space="preserve">Additional Training: </w:t>
      </w:r>
      <w:r>
        <w:rPr>
          <w:sz w:val="16"/>
        </w:rPr>
        <w:t>Data Engineering Track (DataCamp, 2024–2025)  •  Software &amp; Data Engineering (Data Epic, 2025)  •  Computational Thinking for Problem Solving (UPenn, 2022)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fadeni@gmail.com" TargetMode="External"/><Relationship Id="rId10" Type="http://schemas.openxmlformats.org/officeDocument/2006/relationships/hyperlink" Target="https://henryfadeni.vercel.app/" TargetMode="External"/><Relationship Id="rId11" Type="http://schemas.openxmlformats.org/officeDocument/2006/relationships/hyperlink" Target="https://github.com/Protagonist01" TargetMode="External"/><Relationship Id="rId12" Type="http://schemas.openxmlformats.org/officeDocument/2006/relationships/hyperlink" Target="https://www.linkedin.com/in/henry-fadeni-ai-engine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