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30"/>
        </w:rPr>
        <w:t>TAIWO HENRY FADENI</w:t>
      </w:r>
    </w:p>
    <w:p>
      <w:pPr>
        <w:spacing w:before="0" w:after="30"/>
        <w:jc w:val="center"/>
      </w:pPr>
      <w:r>
        <w:rPr>
          <w:b/>
          <w:color w:val="2563EB"/>
          <w:sz w:val="17"/>
        </w:rPr>
        <w:t>SOFTWARE &amp; AI ENGINEER | LLM SYSTEMS • RAG &amp; AGENT WORKFLOWS • DISTRIBUTED BACKENDS</w:t>
      </w:r>
    </w:p>
    <w:p>
      <w:pPr>
        <w:spacing w:before="0" w:after="60"/>
        <w:jc w:val="center"/>
      </w:pPr>
      <w:r>
        <w:rPr>
          <w:color w:val="475569"/>
          <w:sz w:val="16"/>
        </w:rPr>
        <w:t>Lagos, Nigeria (Remote / Relocation)  •  +234 706 616 1980  •  hfadeni@gmail.com</w:t>
        <w:br/>
      </w:r>
      <w:r>
        <w:rPr>
          <w:color w:val="2563EB"/>
          <w:sz w:val="16"/>
        </w:rPr>
        <w:t>Portfolio: henryfadeni.vercel.app  •  GitHub: github.com/Protagonist01  •  LinkedIn: linkedin.com/in/henry-fadeni-ai-engineer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7"/>
        </w:rPr>
        <w:t>Software &amp; AI Engineer with an Electrical &amp; Electronics Engineering foundation, specializing in production-grade LLM systems, evaluated RAG architectures, autonomous agent workflows (LangGraph), and high-throughput distributed backends. Experienced in building deterministic guardrails, human-in-the-loop controls, automated evaluation suites (Spider golden set), and observable backend architectures (FastAPI, Redis, Celery, DuckDB, WebSockets). Proven track record of shipping end-to-end applications from distributed system architecture to polished user interfaces (React, Next.js).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Programming Languages: </w:t>
      </w:r>
      <w:r>
        <w:rPr>
          <w:sz w:val="16"/>
        </w:rPr>
        <w:t>Python, SQL (PostgreSQL, DuckDB, SQLite), JavaScript, TypeScript, MATLAB, HTML5, CSS3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AI &amp; LLM Systems: </w:t>
      </w:r>
      <w:r>
        <w:rPr>
          <w:sz w:val="16"/>
        </w:rPr>
        <w:t>LangGraph, LangChain, RAG Architecture, Vector Databases (Pinecone, ChromaDB), Embeddings, Semantic Caching, Prompt Engineering, Guardrails &amp; Policy Gates, Structured Outputs (Pydantic), Human-in-the-Loop (HITL), Automated Evaluations (Golden Sets, Spider Benchmark)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Backend &amp; Distributed Systems: </w:t>
      </w:r>
      <w:r>
        <w:rPr>
          <w:sz w:val="16"/>
        </w:rPr>
        <w:t>FastAPI, WebSockets, RESTful APIs, Server-Sent Events (SSE), Celery, Redis (Pub/Sub, Caching, Sliding-Window Rate Limiting), AsyncIO, DuckDB, PostgreSQL, SQLite, Alembic, Pandas, PySpark, ETL Pipelines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Frontend &amp; UI Engineering: </w:t>
      </w:r>
      <w:r>
        <w:rPr>
          <w:sz w:val="16"/>
        </w:rPr>
        <w:t>React, Next.js, Vite, TypeScript, Tailwind CSS, Responsive Design, State Management, Interactive Data Dashboards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DevOps, Cloud &amp; Observability: </w:t>
      </w:r>
      <w:r>
        <w:rPr>
          <w:sz w:val="16"/>
        </w:rPr>
        <w:t>AWS, Cloudflare, Docker, Docker Compose, GitHub Actions (CI/CD), Git, GitHub, Pytest (80%+ CI Coverage Gates), Prometheus, Grafana, Structured JSON Logging, Loki, Supabase, Vercel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SELECTED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Retrieval-Augmented Analytics Dashboard (Text-to-SQL)</w:t>
            </w:r>
            <w:r>
              <w:rPr>
                <w:i/>
                <w:color w:val="475569"/>
                <w:sz w:val="17"/>
              </w:rPr>
              <w:t xml:space="preserve"> | FastAPI · DuckDB · sqlglot · Redis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Architected a natural-language to SQL analytics workspace executing sandboxed, read-only analytical queries against DuckDB with streamed SSE explanations and dynamic charts.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an 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Autonomous AI Code Review Agent</w:t>
            </w:r>
            <w:r>
              <w:rPr>
                <w:i/>
                <w:color w:val="475569"/>
                <w:sz w:val="17"/>
              </w:rPr>
              <w:t xml:space="preserve"> | Python · FastAPI · LangGraph · Celery · Redis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Developed an 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HMAC-SHA256 webhook verification, Redis sliding-window rate limiting, and asynchronous job queuing via Celery workers to decouple webhook intake from model inference.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pluggable multi-provider LLM abstraction (OpenAI, Anthropic, Groq, Ollama), structured JSON validation, and an evaluation harness with an 80% CI code coverage gate.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Self-Healing Microservices Monitor (Autonomous SRE Agent)</w:t>
            </w:r>
            <w:r>
              <w:rPr>
                <w:i/>
                <w:color w:val="475569"/>
                <w:sz w:val="17"/>
              </w:rPr>
              <w:t xml:space="preserve"> | LangGraph · ChromaDB · Prometheus · Postgres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an incident-response agent integrating Prometheus Alertmanager webhooks, LangGraph multi-step diagnosis, and ChromaDB vector runbook retrieval.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Achieved 100% (4/4)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Realtime Multi-Room Chat Backend</w:t>
            </w:r>
            <w:r>
              <w:rPr>
                <w:i/>
                <w:color w:val="475569"/>
                <w:sz w:val="17"/>
              </w:rPr>
              <w:t xml:space="preserve"> | FastAPI · WebSockets · Redis Pub/Sub · SQLite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 distributed multi-room WebSocket backend scaling across workers using reference-counted Redis Pub/Sub channels (one channel per active room).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JWT authentication during WebSocket handshakes, Redis hash presence tracking with multi-device deduplication, and cursor-paginated message history (15 msgs/page).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Authored cross-process integration test suites verifying synchronized multi-worker message delivery and connection fault isolation.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EXPERIENCE &amp; RESEARCH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Freelance Software &amp; AI Engineer</w:t>
            </w:r>
            <w:r>
              <w:rPr>
                <w:i/>
                <w:color w:val="475569"/>
                <w:sz w:val="17"/>
              </w:rPr>
              <w:t xml:space="preserve"> | Independent Engineering &amp; Consulting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Jan 2025 – Present</w:t>
            </w:r>
            <w:r>
              <w:rPr>
                <w:sz w:val="16"/>
              </w:rPr>
              <w:t xml:space="preserve">  (Remote)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Designed and delivered production-grade AI systems, RAG workflows, agentic automation pipelines, and backend APIs for international clients and product builds.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rigorous evaluation harnesses, safety guardrails, and deterministic tool-use boundaries across web, voice, and developer automation applications.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Electrical &amp; Automation Engineering Intern</w:t>
            </w:r>
            <w:r>
              <w:rPr>
                <w:i/>
                <w:color w:val="475569"/>
                <w:sz w:val="17"/>
              </w:rPr>
              <w:t xml:space="preserve"> | Promasidor Nigeria Limited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May 2024 – Sep 2024</w:t>
            </w:r>
            <w:r>
              <w:rPr>
                <w:sz w:val="16"/>
              </w:rPr>
              <w:t xml:space="preserve">  (Lagos, NG)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Supported maintenance, diagnostic troubleshooting, and optimization of automated PLC-driven production-line systems in a high-volume FMCG manufacturing facility.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Applied structured root-cause analysis (RCA) to resolve electrical and sensor faults, cutting recurring downtime; documented 5+ automation workflows and SOPs.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Student Research Assistant</w:t>
            </w:r>
            <w:r>
              <w:rPr>
                <w:i/>
                <w:color w:val="475569"/>
                <w:sz w:val="17"/>
              </w:rPr>
              <w:t xml:space="preserve"> | Communication Research Group &amp; Control Systems Lab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2020 – 2025</w:t>
            </w:r>
            <w:r>
              <w:rPr>
                <w:sz w:val="16"/>
              </w:rPr>
              <w:t xml:space="preserve">  (OAU, NG)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Co-developed an IoT-compatible telemetry station and simulated sensor-to-microcontroller data transmission using MATLAB and Simulink.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Modeled Signal-to-Noise Ratio (SNR) across wireless configurations and contributed to smart metering prototypes for service-based tariff billing.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EDUCATION &amp; PROFESSIONAL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B.Eng., Electrical &amp; Electronics Engineering</w:t>
            </w:r>
            <w:r>
              <w:rPr>
                <w:i/>
                <w:color w:val="475569"/>
                <w:sz w:val="17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2019 – 2025</w:t>
            </w:r>
            <w:r>
              <w:rPr>
                <w:sz w:val="16"/>
              </w:rPr>
              <w:t xml:space="preserve">  (Ile-Ife, Nigeria)</w:t>
            </w:r>
          </w:p>
        </w:tc>
      </w:tr>
    </w:tbl>
    <w:p>
      <w:pPr>
        <w:spacing w:before="20" w:after="20"/>
      </w:pPr>
      <w:r>
        <w:rPr>
          <w:b/>
          <w:sz w:val="16"/>
        </w:rPr>
        <w:t xml:space="preserve">Specialized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