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F172A"/>
          <w:sz w:val="29"/>
        </w:rPr>
        <w:t>TAIWO HENRY FADENI</w:t>
      </w:r>
    </w:p>
    <w:p>
      <w:pPr>
        <w:spacing w:before="0" w:after="40"/>
        <w:jc w:val="center"/>
      </w:pPr>
      <w:r>
        <w:rPr>
          <w:b/>
          <w:color w:val="2563EB"/>
          <w:sz w:val="17"/>
        </w:rPr>
        <w:t>APPLIED AI &amp; SOFTWARE ENGINEER | LLM SYSTEMS • RAG &amp; AGENT WORKFLOWS • DISTRIBUTED BACKENDS</w:t>
      </w:r>
    </w:p>
    <w:p>
      <w:pPr>
        <w:spacing w:before="0" w:after="80"/>
        <w:jc w:val="center"/>
      </w:pPr>
      <w:r>
        <w:rPr>
          <w:color w:val="475569"/>
          <w:sz w:val="16"/>
        </w:rPr>
        <w:t xml:space="preserve">Lagos, Nigeria (Remote / Relocation)  •  +234 706 616 1980  •  </w:t>
      </w:r>
      <w:hyperlink r:id="rId9">
        <w:r>
          <w:rPr>
            <w:rFonts w:ascii="Calibri" w:hAnsi="Calibri"/>
            <w:sz w:val="16"/>
            <w:color w:val="2563EB"/>
          </w:rPr>
          <w:t>hfadeni@gmail.com</w:t>
        </w:r>
      </w:hyperlink>
      <w:r>
        <w:rPr>
          <w:sz w:val="16"/>
        </w:rPr>
        <w:br/>
      </w:r>
      <w:hyperlink r:id="rId10">
        <w:r>
          <w:rPr>
            <w:rFonts w:ascii="Calibri" w:hAnsi="Calibri"/>
            <w:sz w:val="16"/>
            <w:color w:val="2563EB"/>
          </w:rPr>
          <w:t>Portfolio</w:t>
        </w:r>
      </w:hyperlink>
      <w:r>
        <w:rPr>
          <w:color w:val="475569"/>
          <w:sz w:val="16"/>
        </w:rPr>
        <w:t xml:space="preserve">  •  </w:t>
      </w:r>
      <w:hyperlink r:id="rId11">
        <w:r>
          <w:rPr>
            <w:rFonts w:ascii="Calibri" w:hAnsi="Calibri"/>
            <w:sz w:val="16"/>
            <w:color w:val="2563EB"/>
          </w:rPr>
          <w:t>GitHub</w:t>
        </w:r>
      </w:hyperlink>
      <w:r>
        <w:rPr>
          <w:color w:val="475569"/>
          <w:sz w:val="16"/>
        </w:rPr>
        <w:t xml:space="preserve">  •  </w:t>
      </w:r>
      <w:hyperlink r:id="rId12">
        <w:r>
          <w:rPr>
            <w:rFonts w:ascii="Calibri" w:hAnsi="Calibri"/>
            <w:sz w:val="16"/>
            <w:color w:val="2563EB"/>
          </w:rPr>
          <w:t>LinkedIn</w:t>
        </w:r>
      </w:hyperlink>
    </w:p>
    <w:p>
      <w:pPr>
        <w:keepNext/>
        <w:spacing w:before="6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6"/>
        </w:rPr>
        <w:t>Applied AI &amp; Software Engineer with an Electrical &amp; Electronics Engineering foundation, specializing in production-grade LLM systems, evaluated RAG architectures, autonomous agent workflows, and high-throughput asynchronous backends. Experienced in building deterministic guardrails, human-in-the-loop controls, automated evaluation suites, and observable asynchronous backend pipelines. Proven track record of shipping end-to-end applications from distributed backend architecture to polished user interfaces.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MATLAB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State Management, Interactive Data Dashboards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GitHub Actions (CI/CD), Git, Pytest (80%+ CI Coverage Gates), Prometheus, Grafana, Loki, Supabase, Vercel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Automation: </w:t>
      </w:r>
      <w:r>
        <w:rPr>
          <w:sz w:val="16"/>
        </w:rPr>
        <w:t>n8n (self-hosted workflows, webhook orchestration, custom code nodes), event-driven pipelines, scheduled ETL, apps integration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APPLIED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Retrieval-Augmented Analytics Workspace (Text-to-SQL)</w:t>
            </w:r>
            <w:r>
              <w:rPr>
                <w:i/>
                <w:color w:val="475569"/>
                <w:sz w:val="16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Natural-language analytics interface executing sandboxed, read-only analytical queries against DuckDB with streamed SSE explanations and dynamic charts.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Self-Healing Microservices Monitor (Autonomous SRE Agent)</w:t>
            </w:r>
            <w:r>
              <w:rPr>
                <w:i/>
                <w:color w:val="475569"/>
                <w:sz w:val="16"/>
              </w:rPr>
              <w:t xml:space="preserve"> | LangGraph · ChromaDB · Prometheus · Postgres · React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Incident-response agent integrating Prometheus Alertmanager webhooks, LangGraph multi-step diagnosis, and ChromaDB vector runbook retrieval.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Designed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Scored 100%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Distributed Realtime Chat Backend</w:t>
            </w:r>
            <w:r>
              <w:rPr>
                <w:i/>
                <w:color w:val="475569"/>
                <w:sz w:val="16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Multi-room WebSocket backend scaling across workers using reference-counted Redis Pub/Sub channels (one channel per active room).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JWT authentication at handshake, Redis-hash presence tracking with multi-device deduplication, and cursor-paginated message history (15 msgs/page); verified by cross-process integration tests for multi-worker delivery and connection fault isolation.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Autonomous Code Review Agent (GitHub App)</w:t>
            </w:r>
            <w:r>
              <w:rPr>
                <w:i/>
                <w:color w:val="475569"/>
                <w:sz w:val="16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2025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Decoupled webhook intake from model inference using Celery workers for asynchronous job queuing, with HMAC-SHA256 webhook verification and Redis sliding-window rate limiting.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pluggable multi-provider LLM abstraction (OpenAI, Anthropic, Groq, Ollama) behind an 80% CI code coverage gate.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Automation Engineer</w:t>
            </w:r>
            <w:r>
              <w:rPr>
                <w:i/>
                <w:color w:val="475569"/>
                <w:sz w:val="16"/>
              </w:rPr>
              <w:t xml:space="preserve"> | Cedarstone Business Services (Contract)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Feb 2026 – Jul 2026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Engineered business automation workflows covering proposal preparation, invoice receivables follow-up, and client onboarding.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Implemented automated pricing calculations, multi-tier discount approval routing, dispute-aware payment tracking, and onboarding exception handling.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Backend Engineer</w:t>
            </w:r>
            <w:r>
              <w:rPr>
                <w:i/>
                <w:color w:val="475569"/>
                <w:sz w:val="16"/>
              </w:rPr>
              <w:t xml:space="preserve"> | Cedar Freight Technologies (Freelance)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Jan 2025 – Present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Engineered distributed backend tracking services integrating third-party carrier APIs into a normalized, idempotent event model.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resilient background workers with exponential retry handling, duplicate-event safeguards, structured logging, and distributed tracing.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Software Engineer, Platform</w:t>
            </w:r>
            <w:r>
              <w:rPr>
                <w:i/>
                <w:color w:val="475569"/>
                <w:sz w:val="16"/>
              </w:rPr>
              <w:t xml:space="preserve"> | Fieldstone SaaS (Contract)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Jun 2025 – Dec 2025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Refactored monolithic application services into decoupled modules, introducing asynchronous background workers to offload request-path latency.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automated CI/CD pipelines with migration and deployment gates, health checks, and telemetry alerts resolving recurring timeouts.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Applied AI &amp; Software Engineer</w:t>
            </w:r>
            <w:r>
              <w:rPr>
                <w:i/>
                <w:color w:val="475569"/>
                <w:sz w:val="16"/>
              </w:rPr>
              <w:t xml:space="preserve"> | Meridian Knowledge (Contract)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May 2024 – Oct 2025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Architected multimodal document ingestion pipelines extracting and indexing data from PDFs, scanned forms, and structured records.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Integrated LLM extraction with deterministic validation rules, human-in-the-loop review interfaces, and automated quality evaluation suites.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B.Eng., Electrical &amp; Electronics Engineering</w:t>
            </w:r>
            <w:r>
              <w:rPr>
                <w:i/>
                <w:color w:val="475569"/>
                <w:sz w:val="16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2019 – 2025</w:t>
            </w:r>
            <w:r>
              <w:rPr>
                <w:sz w:val="15"/>
              </w:rPr>
              <w:t xml:space="preserve">  (Ile-Ife, Nigeria)</w:t>
            </w:r>
          </w:p>
        </w:tc>
      </w:tr>
    </w:tbl>
    <w:p>
      <w:pPr>
        <w:spacing w:before="30" w:after="20"/>
      </w:pPr>
      <w:r>
        <w:rPr>
          <w:b/>
          <w:sz w:val="16"/>
        </w:rPr>
        <w:t xml:space="preserve">Additional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fadeni@gmail.com" TargetMode="External"/><Relationship Id="rId10" Type="http://schemas.openxmlformats.org/officeDocument/2006/relationships/hyperlink" Target="https://henryfadeni.vercel.app/" TargetMode="External"/><Relationship Id="rId11" Type="http://schemas.openxmlformats.org/officeDocument/2006/relationships/hyperlink" Target="https://github.com/Protagonist01" TargetMode="External"/><Relationship Id="rId12" Type="http://schemas.openxmlformats.org/officeDocument/2006/relationships/hyperlink" Target="https://www.linkedin.com/in/henry-fadeni-ai-engine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