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E64072">
      <w:pPr>
        <w:rPr>
          <w:sz w:val="40"/>
          <w:szCs w:val="40"/>
        </w:rPr>
      </w:pPr>
      <w:r w:rsidRPr="00E64072">
        <w:rPr>
          <w:sz w:val="40"/>
          <w:szCs w:val="40"/>
        </w:rPr>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4"/>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E64072">
      <w:pPr>
        <w:pStyle w:val="Heading1"/>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w:t>
      </w:r>
      <w:proofErr w:type="gramStart"/>
      <w:r>
        <w:t>disadvantages</w:t>
      </w:r>
      <w:proofErr w:type="gramEnd"/>
      <w:r>
        <w:t xml:space="preserve">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 xml:space="preserve">MPS focuses on the analog and mixed-signal integrated circuit markets which differs from digital integrated circuit </w:t>
      </w:r>
      <w:proofErr w:type="gramStart"/>
      <w:r>
        <w:t>markets</w:t>
      </w:r>
      <w:proofErr w:type="gramEnd"/>
      <w:r>
        <w:t xml:space="preserve">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 xml:space="preserve">Its competitors </w:t>
      </w:r>
      <w:proofErr w:type="gramStart"/>
      <w:r>
        <w:t>include:</w:t>
      </w:r>
      <w:proofErr w:type="gramEnd"/>
      <w:r>
        <w:t xml:space="preserve"> Analog Devices, Infineon Technologies, NXP Semiconductors, ON Semiconductor, Power Integrations, Renesas Electronics, ROHM Semiconductor, </w:t>
      </w:r>
      <w:proofErr w:type="spellStart"/>
      <w:r>
        <w:t>Semtech</w:t>
      </w:r>
      <w:proofErr w:type="spellEnd"/>
      <w:r>
        <w:t>, STMicroelectronics and Texas Instruments.</w:t>
      </w:r>
    </w:p>
    <w:p w14:paraId="4E1BD985" w14:textId="77777777" w:rsidR="0006079A" w:rsidRDefault="0006079A" w:rsidP="00E64072">
      <w:pPr>
        <w:pStyle w:val="Heading1"/>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w:t>
      </w:r>
      <w:proofErr w:type="gramStart"/>
      <w:r>
        <w:t>time</w:t>
      </w:r>
      <w:proofErr w:type="gramEnd"/>
      <w:r>
        <w:t xml:space="preserve"> you’ll see improvement across all these metrics since the beginning of MPS’ formation. </w:t>
      </w:r>
    </w:p>
    <w:p w14:paraId="3F22FEFC" w14:textId="788C53C8" w:rsidR="00526255" w:rsidRDefault="002E55D0" w:rsidP="0006079A">
      <w:r>
        <w:t xml:space="preserve">I can’t say I like any single thing here the most, but I do like to see that management is </w:t>
      </w:r>
      <w:proofErr w:type="gramStart"/>
      <w:r>
        <w:t>disciplined  about</w:t>
      </w:r>
      <w:proofErr w:type="gramEnd"/>
      <w:r>
        <w:t xml:space="preserve"> managing debt and cash and being able to consistently return value to shareholders year after year.</w:t>
      </w:r>
    </w:p>
    <w:p w14:paraId="6D373A81" w14:textId="77777777" w:rsidR="00E0598E" w:rsidRDefault="00E0598E" w:rsidP="0006079A"/>
    <w:p w14:paraId="09C3E097" w14:textId="77777777" w:rsidR="00E0598E" w:rsidRDefault="00E0598E" w:rsidP="0006079A"/>
    <w:p w14:paraId="1E3B5F6A" w14:textId="77777777" w:rsidR="00E0598E" w:rsidRDefault="00E0598E" w:rsidP="0006079A"/>
    <w:p w14:paraId="25F78746" w14:textId="77777777" w:rsidR="00E0598E" w:rsidRDefault="00E0598E" w:rsidP="0006079A"/>
    <w:p w14:paraId="2B0501DA" w14:textId="77777777" w:rsidR="00E0598E" w:rsidRDefault="00E0598E" w:rsidP="0006079A"/>
    <w:p w14:paraId="709C2BFF" w14:textId="77777777" w:rsidR="00E0598E" w:rsidRDefault="00E0598E" w:rsidP="0006079A"/>
    <w:tbl>
      <w:tblPr>
        <w:tblStyle w:val="TableGrid"/>
        <w:tblW w:w="9373" w:type="dxa"/>
        <w:tblLook w:val="04A0" w:firstRow="1" w:lastRow="0" w:firstColumn="1" w:lastColumn="0" w:noHBand="0" w:noVBand="1"/>
      </w:tblPr>
      <w:tblGrid>
        <w:gridCol w:w="1885"/>
        <w:gridCol w:w="1319"/>
        <w:gridCol w:w="1603"/>
        <w:gridCol w:w="1603"/>
        <w:gridCol w:w="1603"/>
        <w:gridCol w:w="1360"/>
      </w:tblGrid>
      <w:tr w:rsidR="00526255" w14:paraId="6C72A8C0" w14:textId="77777777" w:rsidTr="00BA5F97">
        <w:trPr>
          <w:trHeight w:val="305"/>
        </w:trPr>
        <w:tc>
          <w:tcPr>
            <w:tcW w:w="1885" w:type="dxa"/>
          </w:tcPr>
          <w:p w14:paraId="769F5FA4" w14:textId="79E6C8FC" w:rsidR="00526255" w:rsidRPr="002E55D0" w:rsidRDefault="00526255" w:rsidP="00526255">
            <w:pPr>
              <w:jc w:val="center"/>
              <w:rPr>
                <w:b/>
                <w:bCs/>
                <w:u w:val="single"/>
              </w:rPr>
            </w:pPr>
            <w:r w:rsidRPr="002E55D0">
              <w:rPr>
                <w:b/>
                <w:bCs/>
                <w:u w:val="single"/>
              </w:rPr>
              <w:lastRenderedPageBreak/>
              <w:t>Metric</w:t>
            </w:r>
          </w:p>
        </w:tc>
        <w:tc>
          <w:tcPr>
            <w:tcW w:w="1319"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BA5F97" w14:paraId="1DB1DDC3" w14:textId="77777777" w:rsidTr="00BA5F97">
        <w:trPr>
          <w:trHeight w:val="305"/>
        </w:trPr>
        <w:tc>
          <w:tcPr>
            <w:tcW w:w="1885" w:type="dxa"/>
          </w:tcPr>
          <w:p w14:paraId="635DB9AB" w14:textId="18155573" w:rsidR="00BA5F97" w:rsidRDefault="00BA5F97" w:rsidP="0006079A">
            <w:r>
              <w:t>Revenue [$ MM]</w:t>
            </w:r>
          </w:p>
        </w:tc>
        <w:tc>
          <w:tcPr>
            <w:tcW w:w="1319" w:type="dxa"/>
            <w:vAlign w:val="center"/>
          </w:tcPr>
          <w:p w14:paraId="1DA8AE10" w14:textId="7E245122" w:rsidR="00BA5F97" w:rsidRDefault="00BA5F97" w:rsidP="004E1480">
            <w:pPr>
              <w:jc w:val="center"/>
            </w:pPr>
            <w:r>
              <w:t>1,821</w:t>
            </w:r>
          </w:p>
        </w:tc>
        <w:tc>
          <w:tcPr>
            <w:tcW w:w="1603" w:type="dxa"/>
            <w:vAlign w:val="center"/>
          </w:tcPr>
          <w:p w14:paraId="6B2A6697" w14:textId="52202348" w:rsidR="00BA5F97" w:rsidRDefault="00BA5F97" w:rsidP="004E1480">
            <w:pPr>
              <w:jc w:val="center"/>
            </w:pPr>
            <w:r>
              <w:t>1,794</w:t>
            </w:r>
          </w:p>
        </w:tc>
        <w:tc>
          <w:tcPr>
            <w:tcW w:w="1603" w:type="dxa"/>
            <w:vAlign w:val="center"/>
          </w:tcPr>
          <w:p w14:paraId="54AE9355" w14:textId="407E1EBB" w:rsidR="00BA5F97" w:rsidRDefault="00BA5F97" w:rsidP="004E1480">
            <w:pPr>
              <w:jc w:val="center"/>
            </w:pPr>
            <w:r>
              <w:t>1,207</w:t>
            </w:r>
          </w:p>
        </w:tc>
        <w:tc>
          <w:tcPr>
            <w:tcW w:w="1603" w:type="dxa"/>
            <w:vAlign w:val="center"/>
          </w:tcPr>
          <w:p w14:paraId="4857140C" w14:textId="3EB9D3A9" w:rsidR="00BA5F97" w:rsidRDefault="00BA5F97" w:rsidP="004E1480">
            <w:pPr>
              <w:jc w:val="center"/>
            </w:pPr>
            <w:r>
              <w:t>844</w:t>
            </w:r>
          </w:p>
        </w:tc>
        <w:tc>
          <w:tcPr>
            <w:tcW w:w="1360" w:type="dxa"/>
            <w:vAlign w:val="center"/>
          </w:tcPr>
          <w:p w14:paraId="4FA8E6FA" w14:textId="33793891" w:rsidR="00BA5F97" w:rsidRDefault="00BA5F97" w:rsidP="004E1480">
            <w:pPr>
              <w:jc w:val="center"/>
            </w:pPr>
            <w:r>
              <w:t>628</w:t>
            </w:r>
          </w:p>
        </w:tc>
      </w:tr>
      <w:tr w:rsidR="00526255" w14:paraId="45387CD4" w14:textId="77777777" w:rsidTr="00BA5F97">
        <w:trPr>
          <w:trHeight w:val="305"/>
        </w:trPr>
        <w:tc>
          <w:tcPr>
            <w:tcW w:w="1885" w:type="dxa"/>
          </w:tcPr>
          <w:p w14:paraId="05C0C62A" w14:textId="56FED49E" w:rsidR="00526255" w:rsidRDefault="00526255" w:rsidP="0006079A">
            <w:r>
              <w:t>ROE</w:t>
            </w:r>
            <w:r w:rsidR="004E1480">
              <w:t xml:space="preserve"> [%]</w:t>
            </w:r>
          </w:p>
        </w:tc>
        <w:tc>
          <w:tcPr>
            <w:tcW w:w="1319"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BA5F97">
        <w:trPr>
          <w:trHeight w:val="305"/>
        </w:trPr>
        <w:tc>
          <w:tcPr>
            <w:tcW w:w="1885" w:type="dxa"/>
          </w:tcPr>
          <w:p w14:paraId="2319992C" w14:textId="38EC7A98" w:rsidR="00526255" w:rsidRDefault="00526255" w:rsidP="0006079A">
            <w:r>
              <w:t>ROIC</w:t>
            </w:r>
            <w:r w:rsidR="004E1480">
              <w:t xml:space="preserve"> [%]</w:t>
            </w:r>
          </w:p>
        </w:tc>
        <w:tc>
          <w:tcPr>
            <w:tcW w:w="1319"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BA5F97">
        <w:trPr>
          <w:trHeight w:val="294"/>
        </w:trPr>
        <w:tc>
          <w:tcPr>
            <w:tcW w:w="1885" w:type="dxa"/>
          </w:tcPr>
          <w:p w14:paraId="3F21497D" w14:textId="057EDAA3" w:rsidR="00526255" w:rsidRDefault="00526255" w:rsidP="0006079A">
            <w:r>
              <w:t>Cash flow / Net income</w:t>
            </w:r>
          </w:p>
        </w:tc>
        <w:tc>
          <w:tcPr>
            <w:tcW w:w="1319"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BA5F97">
        <w:trPr>
          <w:trHeight w:val="305"/>
        </w:trPr>
        <w:tc>
          <w:tcPr>
            <w:tcW w:w="1885" w:type="dxa"/>
          </w:tcPr>
          <w:p w14:paraId="5E54110B" w14:textId="7FEFE9F2" w:rsidR="00526255" w:rsidRDefault="004E1480" w:rsidP="0006079A">
            <w:r>
              <w:t>Net Margin [%]</w:t>
            </w:r>
          </w:p>
        </w:tc>
        <w:tc>
          <w:tcPr>
            <w:tcW w:w="1319"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BA5F97">
        <w:trPr>
          <w:trHeight w:val="305"/>
        </w:trPr>
        <w:tc>
          <w:tcPr>
            <w:tcW w:w="1885" w:type="dxa"/>
          </w:tcPr>
          <w:p w14:paraId="354704C4" w14:textId="0A1DDE0A" w:rsidR="004E1480" w:rsidRDefault="004E1480" w:rsidP="0006079A">
            <w:r>
              <w:t>Debt / Equity</w:t>
            </w:r>
          </w:p>
        </w:tc>
        <w:tc>
          <w:tcPr>
            <w:tcW w:w="1319"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BA5F97">
        <w:trPr>
          <w:trHeight w:val="305"/>
        </w:trPr>
        <w:tc>
          <w:tcPr>
            <w:tcW w:w="1885" w:type="dxa"/>
          </w:tcPr>
          <w:p w14:paraId="2CB927AF" w14:textId="15BC3C93" w:rsidR="00526255" w:rsidRDefault="00526255" w:rsidP="0006079A">
            <w:r>
              <w:t>Quick ratio</w:t>
            </w:r>
          </w:p>
        </w:tc>
        <w:tc>
          <w:tcPr>
            <w:tcW w:w="1319"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E64072">
      <w:pPr>
        <w:pStyle w:val="Heading1"/>
      </w:pPr>
      <w:r>
        <w:t>Moat</w:t>
      </w:r>
    </w:p>
    <w:p w14:paraId="50020011" w14:textId="3317AFC9"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xml:space="preserve">. </w:t>
      </w:r>
      <w:r w:rsidR="00BA5F97">
        <w:t xml:space="preserve">The combination of these three components results in a product with higher power density and configurability than a three-component solution. </w:t>
      </w:r>
      <w:r>
        <w:t>Monolith focuses on highly integrated power management chips</w:t>
      </w:r>
      <w:r w:rsidR="00BA5F97">
        <w:t xml:space="preserve"> which provides superior levels of reliability and convenience for their customers which subsequently results in high switching costs.</w:t>
      </w:r>
    </w:p>
    <w:p w14:paraId="2ACB4BEF" w14:textId="73FF6ACA" w:rsidR="0006079A" w:rsidRDefault="0006079A" w:rsidP="00E64072">
      <w:pPr>
        <w:pStyle w:val="Heading1"/>
      </w:pPr>
      <w:r>
        <w:t>Risks</w:t>
      </w:r>
    </w:p>
    <w:p w14:paraId="0EF79FA1" w14:textId="4D8B2417" w:rsidR="00E64072" w:rsidRDefault="00BA5F97">
      <w:r>
        <w:t xml:space="preserve">The greatest risk to MPS is its exposure to China. A third of their revenue comes from Chinese customers and a portion of their manufacturing relies on Chinese foundries (with the remaining in Taiwan, South Korea, and Singapore). Given Donald Trump has won the most recent Presidential election, one can expect increased pressure on Chinese imports which could raise the cost of Chinese imported products as well as put pressure on Chinese consumers. Beijing, however, has been watching U.S. elections closely and recently revealed a </w:t>
      </w:r>
      <w:hyperlink r:id="rId5" w:history="1">
        <w:r w:rsidRPr="00BA5F97">
          <w:rPr>
            <w:rStyle w:val="Hyperlink"/>
          </w:rPr>
          <w:t>$1.4 trillion financial package</w:t>
        </w:r>
      </w:hyperlink>
      <w:r>
        <w:t xml:space="preserve"> to boost the economy. </w:t>
      </w:r>
      <w:r w:rsidR="005B4C27">
        <w:t>It’s also worth noting that MPS stock price performed well even during Trump’s first term, gaining approximately 300%.</w:t>
      </w:r>
    </w:p>
    <w:p w14:paraId="2041BEB0" w14:textId="23008E54" w:rsidR="0006079A" w:rsidRDefault="00CB1E05" w:rsidP="00E64072">
      <w:pPr>
        <w:pStyle w:val="Heading1"/>
      </w:pPr>
      <w:r>
        <w:t>Sustained Alpha</w:t>
      </w:r>
    </w:p>
    <w:p w14:paraId="075B25AA" w14:textId="0772DF28" w:rsidR="00917F3B" w:rsidRDefault="005B4C27">
      <w:r>
        <w:t>What really makes MPS so attractive is the company’s consistently high return on equity and invested capital, extremely low debt levels, and high customer switching costs. The current CEO is Michael Hsing and he’s been with the company for 27 years. Unless there is a dramatic change in leadership, I expect MPS to continue to generate above average returns.</w:t>
      </w:r>
    </w:p>
    <w:p w14:paraId="4FF324EA" w14:textId="77777777" w:rsidR="00917F3B" w:rsidRDefault="00917F3B"/>
    <w:sectPr w:rsidR="0091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2E55D0"/>
    <w:rsid w:val="00317B82"/>
    <w:rsid w:val="00332319"/>
    <w:rsid w:val="0041261D"/>
    <w:rsid w:val="004922CE"/>
    <w:rsid w:val="004E1480"/>
    <w:rsid w:val="00526255"/>
    <w:rsid w:val="005B4C27"/>
    <w:rsid w:val="005F0504"/>
    <w:rsid w:val="007150A2"/>
    <w:rsid w:val="007E7826"/>
    <w:rsid w:val="00877167"/>
    <w:rsid w:val="00917F3B"/>
    <w:rsid w:val="009E59AB"/>
    <w:rsid w:val="00A11001"/>
    <w:rsid w:val="00A8125D"/>
    <w:rsid w:val="00B014F2"/>
    <w:rsid w:val="00B14608"/>
    <w:rsid w:val="00BA5F97"/>
    <w:rsid w:val="00CB1E05"/>
    <w:rsid w:val="00DA1F35"/>
    <w:rsid w:val="00DD1BBB"/>
    <w:rsid w:val="00E0598E"/>
    <w:rsid w:val="00E6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97"/>
    <w:rPr>
      <w:color w:val="467886" w:themeColor="hyperlink"/>
      <w:u w:val="single"/>
    </w:rPr>
  </w:style>
  <w:style w:type="character" w:styleId="UnresolvedMention">
    <w:name w:val="Unresolved Mention"/>
    <w:basedOn w:val="DefaultParagraphFont"/>
    <w:uiPriority w:val="99"/>
    <w:semiHidden/>
    <w:unhideWhenUsed/>
    <w:rsid w:val="00B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rrons.com/articles/china-fiscal-stimulus-trump-tariffs-7aef804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519</TotalTime>
  <Pages>1</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16</cp:revision>
  <dcterms:created xsi:type="dcterms:W3CDTF">2024-10-26T05:05:00Z</dcterms:created>
  <dcterms:modified xsi:type="dcterms:W3CDTF">2024-11-09T06:29:00Z</dcterms:modified>
</cp:coreProperties>
</file>