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C03E" w14:textId="36EEE4B6" w:rsidR="007150A2" w:rsidRDefault="00917F3B">
      <w:r>
        <w:t>Quantum-yields Blog</w:t>
      </w:r>
    </w:p>
    <w:p w14:paraId="5EF467A8" w14:textId="77777777" w:rsidR="0006079A" w:rsidRDefault="0006079A"/>
    <w:p w14:paraId="73DAE94B" w14:textId="28E98910" w:rsidR="0006079A" w:rsidRPr="00E64072" w:rsidRDefault="0006079A" w:rsidP="00E64072">
      <w:pPr>
        <w:rPr>
          <w:sz w:val="40"/>
          <w:szCs w:val="40"/>
        </w:rPr>
      </w:pPr>
      <w:r w:rsidRPr="00E64072">
        <w:rPr>
          <w:sz w:val="40"/>
          <w:szCs w:val="40"/>
        </w:rPr>
        <w:t>MPWR – Monolithic Power</w:t>
      </w:r>
    </w:p>
    <w:p w14:paraId="07C74B92" w14:textId="1A2A7CB3" w:rsidR="00CB1E05" w:rsidRDefault="00877167">
      <w:r>
        <w:t>Quick Thesis: Long track record of e</w:t>
      </w:r>
      <w:r w:rsidR="00CB1E05">
        <w:t xml:space="preserve">fficient operations and customer-centric innovative solutions are what enable this company to consistently deliver </w:t>
      </w:r>
      <w:r>
        <w:t xml:space="preserve">quality double-digit </w:t>
      </w:r>
      <w:r w:rsidR="00CB1E05">
        <w:t xml:space="preserve">returns. </w:t>
      </w:r>
      <w:r>
        <w:t xml:space="preserve">Stock price recently dipped due to “near-term outlook” concerns, but </w:t>
      </w:r>
      <w:r w:rsidR="005F0504">
        <w:t xml:space="preserve">long-term growth and </w:t>
      </w:r>
      <w:r>
        <w:t>value remain.</w:t>
      </w:r>
    </w:p>
    <w:p w14:paraId="6DA4AEF5" w14:textId="77777777" w:rsidR="00526255" w:rsidRDefault="00526255"/>
    <w:p w14:paraId="5A86B69F" w14:textId="347011B4" w:rsidR="00526255" w:rsidRDefault="00526255">
      <w:r>
        <w:t>10-year return: 1,625%</w:t>
      </w:r>
    </w:p>
    <w:p w14:paraId="76560C8A" w14:textId="36E49CBD" w:rsidR="00526255" w:rsidRDefault="00526255">
      <w:r>
        <w:t>5-year return: 374%</w:t>
      </w:r>
    </w:p>
    <w:p w14:paraId="568A5A3D" w14:textId="4D7DB1D8" w:rsidR="00526255" w:rsidRDefault="00526255">
      <w:r>
        <w:rPr>
          <w:noProof/>
        </w:rPr>
        <w:drawing>
          <wp:inline distT="0" distB="0" distL="0" distR="0" wp14:anchorId="6A1C7C2A" wp14:editId="4313AA1E">
            <wp:extent cx="5943600" cy="2612390"/>
            <wp:effectExtent l="0" t="0" r="0" b="0"/>
            <wp:docPr id="8657362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36217" name="Picture 1" descr="Chart, histogram&#10;&#10;Description automatically generated"/>
                    <pic:cNvPicPr/>
                  </pic:nvPicPr>
                  <pic:blipFill>
                    <a:blip r:embed="rId4"/>
                    <a:stretch>
                      <a:fillRect/>
                    </a:stretch>
                  </pic:blipFill>
                  <pic:spPr>
                    <a:xfrm>
                      <a:off x="0" y="0"/>
                      <a:ext cx="5943600" cy="2612390"/>
                    </a:xfrm>
                    <a:prstGeom prst="rect">
                      <a:avLst/>
                    </a:prstGeom>
                  </pic:spPr>
                </pic:pic>
              </a:graphicData>
            </a:graphic>
          </wp:inline>
        </w:drawing>
      </w:r>
    </w:p>
    <w:p w14:paraId="0893CE2A" w14:textId="77777777" w:rsidR="00CB1E05" w:rsidRDefault="00CB1E05"/>
    <w:p w14:paraId="71F5FE92" w14:textId="17DD4352" w:rsidR="0006079A" w:rsidRDefault="0006079A" w:rsidP="00E64072">
      <w:pPr>
        <w:pStyle w:val="Heading1"/>
      </w:pPr>
      <w:r>
        <w:t>Biz Overview</w:t>
      </w:r>
    </w:p>
    <w:p w14:paraId="68C12C12" w14:textId="28AB5D15" w:rsidR="00E64072" w:rsidRDefault="00877167">
      <w:r>
        <w:t xml:space="preserve">As stated from their 10k, Monolithic Power Systems Inc. (MPS) is a “fabless global company that provides high-performance, semiconductor-based power electronics solutions.”. This essentially means they design the semiconductors that their customers buy but they outsource the manufacturing to a third party. This has both advantages and disadvantages but the key advantage is that MPS has lower capital expenditures and can focus on R&amp;D and delivery innovative solutions to their customers. Many other companies like NVIDIA, Qualcomm, AMD, and Broadcom also follow this approach. </w:t>
      </w:r>
    </w:p>
    <w:p w14:paraId="227F51FA" w14:textId="66AC8EE6" w:rsidR="00877167" w:rsidRDefault="00877167">
      <w:r>
        <w:t>MPS’ mission is to “reduce energy and material consumption to improve all aspects of quality of life and create a sustainable future” and they differentiate themselves by “offering solutions that are more highly integrated, smaller in size, more energy-efficient, more accurate with respect to performance specifications and, consequently, more cost-effective than competing solutions.”.</w:t>
      </w:r>
    </w:p>
    <w:p w14:paraId="6903F3DC" w14:textId="1EFF6585" w:rsidR="005F0504" w:rsidRDefault="005F0504">
      <w:r>
        <w:lastRenderedPageBreak/>
        <w:t>MPS focuses on the analog and mixed-signal integrated circuit markets which differs from digital integrated circuit markets but the markets are wide and diverse. Below MPS’s revenue by end market and applications as of end of 2023:</w:t>
      </w:r>
    </w:p>
    <w:p w14:paraId="0F8F8A10" w14:textId="77777777" w:rsidR="005F0504" w:rsidRDefault="005F0504"/>
    <w:tbl>
      <w:tblPr>
        <w:tblStyle w:val="TableGrid"/>
        <w:tblW w:w="0" w:type="auto"/>
        <w:tblLook w:val="04A0" w:firstRow="1" w:lastRow="0" w:firstColumn="1" w:lastColumn="0" w:noHBand="0" w:noVBand="1"/>
      </w:tblPr>
      <w:tblGrid>
        <w:gridCol w:w="2155"/>
        <w:gridCol w:w="5580"/>
        <w:gridCol w:w="1615"/>
      </w:tblGrid>
      <w:tr w:rsidR="005F0504" w14:paraId="0A14C7CD" w14:textId="77777777" w:rsidTr="00526255">
        <w:tc>
          <w:tcPr>
            <w:tcW w:w="2155" w:type="dxa"/>
            <w:vAlign w:val="center"/>
          </w:tcPr>
          <w:p w14:paraId="697303FE" w14:textId="62D8577E" w:rsidR="005F0504" w:rsidRPr="005F0504" w:rsidRDefault="005F0504" w:rsidP="005F0504">
            <w:pPr>
              <w:jc w:val="center"/>
              <w:rPr>
                <w:b/>
                <w:bCs/>
                <w:u w:val="single"/>
              </w:rPr>
            </w:pPr>
            <w:r w:rsidRPr="005F0504">
              <w:rPr>
                <w:b/>
                <w:bCs/>
                <w:u w:val="single"/>
              </w:rPr>
              <w:t>End Market</w:t>
            </w:r>
          </w:p>
        </w:tc>
        <w:tc>
          <w:tcPr>
            <w:tcW w:w="5580" w:type="dxa"/>
            <w:vAlign w:val="center"/>
          </w:tcPr>
          <w:p w14:paraId="7C6D0AB3" w14:textId="31CDE6B8" w:rsidR="005F0504" w:rsidRPr="005F0504" w:rsidRDefault="005F0504" w:rsidP="005F0504">
            <w:pPr>
              <w:jc w:val="center"/>
              <w:rPr>
                <w:b/>
                <w:bCs/>
                <w:u w:val="single"/>
              </w:rPr>
            </w:pPr>
            <w:r w:rsidRPr="005F0504">
              <w:rPr>
                <w:b/>
                <w:bCs/>
                <w:u w:val="single"/>
              </w:rPr>
              <w:t>Applications</w:t>
            </w:r>
          </w:p>
        </w:tc>
        <w:tc>
          <w:tcPr>
            <w:tcW w:w="1615" w:type="dxa"/>
            <w:vAlign w:val="center"/>
          </w:tcPr>
          <w:p w14:paraId="7E4076A6" w14:textId="0F9F4B93" w:rsidR="005F0504" w:rsidRPr="005F0504" w:rsidRDefault="005F0504" w:rsidP="005F0504">
            <w:pPr>
              <w:jc w:val="center"/>
              <w:rPr>
                <w:b/>
                <w:bCs/>
                <w:u w:val="single"/>
              </w:rPr>
            </w:pPr>
            <w:r w:rsidRPr="005F0504">
              <w:rPr>
                <w:b/>
                <w:bCs/>
                <w:u w:val="single"/>
              </w:rPr>
              <w:t>2023 % of Total Revenue</w:t>
            </w:r>
          </w:p>
        </w:tc>
      </w:tr>
      <w:tr w:rsidR="005F0504" w14:paraId="2E5EC6CA" w14:textId="77777777" w:rsidTr="00526255">
        <w:tc>
          <w:tcPr>
            <w:tcW w:w="2155" w:type="dxa"/>
          </w:tcPr>
          <w:p w14:paraId="5A41C2F0" w14:textId="464F3D7F" w:rsidR="005F0504" w:rsidRDefault="005F0504">
            <w:r>
              <w:t>Storage and computing</w:t>
            </w:r>
          </w:p>
        </w:tc>
        <w:tc>
          <w:tcPr>
            <w:tcW w:w="5580" w:type="dxa"/>
          </w:tcPr>
          <w:p w14:paraId="27E04542" w14:textId="11FA8D12" w:rsidR="005F0504" w:rsidRDefault="005F0504">
            <w:r>
              <w:t>Storage applications, commercial notebooks, and graphics cards</w:t>
            </w:r>
          </w:p>
        </w:tc>
        <w:tc>
          <w:tcPr>
            <w:tcW w:w="1615" w:type="dxa"/>
          </w:tcPr>
          <w:p w14:paraId="61CDC72C" w14:textId="752C3F13" w:rsidR="005F0504" w:rsidRDefault="005F0504" w:rsidP="002E55D0">
            <w:pPr>
              <w:jc w:val="center"/>
            </w:pPr>
            <w:r>
              <w:t>27%</w:t>
            </w:r>
          </w:p>
        </w:tc>
      </w:tr>
      <w:tr w:rsidR="005F0504" w14:paraId="5715401C" w14:textId="77777777" w:rsidTr="00526255">
        <w:tc>
          <w:tcPr>
            <w:tcW w:w="2155" w:type="dxa"/>
          </w:tcPr>
          <w:p w14:paraId="04FD0B21" w14:textId="227D0C4B" w:rsidR="005F0504" w:rsidRDefault="005F0504">
            <w:r>
              <w:t>Automotive</w:t>
            </w:r>
          </w:p>
        </w:tc>
        <w:tc>
          <w:tcPr>
            <w:tcW w:w="5580" w:type="dxa"/>
          </w:tcPr>
          <w:p w14:paraId="7AA098FF" w14:textId="76452C2B" w:rsidR="005F0504" w:rsidRDefault="005F0504">
            <w:r>
              <w:t>Advanced driver assistance systems, infotainment digital cockpit, USB connectors, body electronics, and lighting applications</w:t>
            </w:r>
          </w:p>
        </w:tc>
        <w:tc>
          <w:tcPr>
            <w:tcW w:w="1615" w:type="dxa"/>
          </w:tcPr>
          <w:p w14:paraId="7E1A6EB0" w14:textId="417385B5" w:rsidR="005F0504" w:rsidRDefault="005F0504" w:rsidP="002E55D0">
            <w:pPr>
              <w:jc w:val="center"/>
            </w:pPr>
            <w:r>
              <w:t>21.7%</w:t>
            </w:r>
          </w:p>
        </w:tc>
      </w:tr>
      <w:tr w:rsidR="005F0504" w14:paraId="6B7D17CE" w14:textId="77777777" w:rsidTr="00526255">
        <w:tc>
          <w:tcPr>
            <w:tcW w:w="2155" w:type="dxa"/>
          </w:tcPr>
          <w:p w14:paraId="65495AD8" w14:textId="3DD43F7E" w:rsidR="005F0504" w:rsidRDefault="005F0504">
            <w:r>
              <w:t>Enterprise Data</w:t>
            </w:r>
          </w:p>
        </w:tc>
        <w:tc>
          <w:tcPr>
            <w:tcW w:w="5580" w:type="dxa"/>
          </w:tcPr>
          <w:p w14:paraId="4A2F0728" w14:textId="7584BD0C" w:rsidR="005F0504" w:rsidRDefault="005F0504">
            <w:r>
              <w:t>Cloud-based CPU server applications and server artificial intelligence (AI) applications</w:t>
            </w:r>
          </w:p>
        </w:tc>
        <w:tc>
          <w:tcPr>
            <w:tcW w:w="1615" w:type="dxa"/>
          </w:tcPr>
          <w:p w14:paraId="09325896" w14:textId="66BFAE0D" w:rsidR="005F0504" w:rsidRDefault="005F0504" w:rsidP="002E55D0">
            <w:pPr>
              <w:jc w:val="center"/>
            </w:pPr>
            <w:r>
              <w:t>17.7%</w:t>
            </w:r>
          </w:p>
        </w:tc>
      </w:tr>
      <w:tr w:rsidR="005F0504" w14:paraId="404E7F51" w14:textId="77777777" w:rsidTr="00526255">
        <w:tc>
          <w:tcPr>
            <w:tcW w:w="2155" w:type="dxa"/>
          </w:tcPr>
          <w:p w14:paraId="39072535" w14:textId="5460E0D1" w:rsidR="005F0504" w:rsidRDefault="005F0504">
            <w:r>
              <w:t>Consumer</w:t>
            </w:r>
          </w:p>
        </w:tc>
        <w:tc>
          <w:tcPr>
            <w:tcW w:w="5580" w:type="dxa"/>
          </w:tcPr>
          <w:p w14:paraId="622B4755" w14:textId="01039F7A" w:rsidR="005F0504" w:rsidRDefault="005F0504">
            <w:r>
              <w:t>Home appliances, gaming, smart TVs, lighting, monitors, and stereos</w:t>
            </w:r>
          </w:p>
        </w:tc>
        <w:tc>
          <w:tcPr>
            <w:tcW w:w="1615" w:type="dxa"/>
          </w:tcPr>
          <w:p w14:paraId="315C62FE" w14:textId="26E73F51" w:rsidR="005F0504" w:rsidRDefault="005F0504" w:rsidP="002E55D0">
            <w:pPr>
              <w:jc w:val="center"/>
            </w:pPr>
            <w:r>
              <w:t>12.9%</w:t>
            </w:r>
          </w:p>
        </w:tc>
      </w:tr>
      <w:tr w:rsidR="005F0504" w14:paraId="597FFDC2" w14:textId="77777777" w:rsidTr="00526255">
        <w:tc>
          <w:tcPr>
            <w:tcW w:w="2155" w:type="dxa"/>
          </w:tcPr>
          <w:p w14:paraId="1E77267C" w14:textId="0036069D" w:rsidR="005F0504" w:rsidRDefault="005F0504">
            <w:r>
              <w:t>Communications</w:t>
            </w:r>
          </w:p>
        </w:tc>
        <w:tc>
          <w:tcPr>
            <w:tcW w:w="5580" w:type="dxa"/>
          </w:tcPr>
          <w:p w14:paraId="5C0C37A4" w14:textId="6A1301F6" w:rsidR="005F0504" w:rsidRDefault="005F0504">
            <w:r>
              <w:t>4G and 5G infrastructure, satellite communications, and other wireless applications</w:t>
            </w:r>
          </w:p>
        </w:tc>
        <w:tc>
          <w:tcPr>
            <w:tcW w:w="1615" w:type="dxa"/>
          </w:tcPr>
          <w:p w14:paraId="5BBF6B30" w14:textId="1F046AFE" w:rsidR="005F0504" w:rsidRDefault="005F0504" w:rsidP="002E55D0">
            <w:pPr>
              <w:jc w:val="center"/>
            </w:pPr>
            <w:r>
              <w:t>11.3%</w:t>
            </w:r>
          </w:p>
        </w:tc>
      </w:tr>
      <w:tr w:rsidR="005F0504" w14:paraId="103EDD17" w14:textId="77777777" w:rsidTr="00526255">
        <w:tc>
          <w:tcPr>
            <w:tcW w:w="2155" w:type="dxa"/>
          </w:tcPr>
          <w:p w14:paraId="21239ED7" w14:textId="260BF385" w:rsidR="005F0504" w:rsidRDefault="005F0504">
            <w:r>
              <w:t>Industrial</w:t>
            </w:r>
          </w:p>
        </w:tc>
        <w:tc>
          <w:tcPr>
            <w:tcW w:w="5580" w:type="dxa"/>
          </w:tcPr>
          <w:p w14:paraId="6E916C41" w14:textId="7F701F20" w:rsidR="005F0504" w:rsidRDefault="005F0504">
            <w:r>
              <w:t>Power sources, industrial meter, security applications, and other industrial equipment</w:t>
            </w:r>
          </w:p>
        </w:tc>
        <w:tc>
          <w:tcPr>
            <w:tcW w:w="1615" w:type="dxa"/>
          </w:tcPr>
          <w:p w14:paraId="5BF2E4C2" w14:textId="5ED2F585" w:rsidR="005F0504" w:rsidRDefault="005F0504" w:rsidP="002E55D0">
            <w:pPr>
              <w:jc w:val="center"/>
            </w:pPr>
            <w:r>
              <w:t>9.4%</w:t>
            </w:r>
          </w:p>
        </w:tc>
      </w:tr>
    </w:tbl>
    <w:p w14:paraId="57578F98" w14:textId="77777777" w:rsidR="005F0504" w:rsidRDefault="005F0504"/>
    <w:p w14:paraId="33C23223" w14:textId="07C00C7B" w:rsidR="002E55D0" w:rsidRDefault="002E55D0">
      <w:r>
        <w:t>Its competitors include: Analog Devices, Infineon Technologies, NXP Semiconductors, ON Semiconductor, Power Integrations, Renesas Electronics, ROHM Semiconductor, Semtech, STMicroelectronics and Texas Instruments.</w:t>
      </w:r>
    </w:p>
    <w:p w14:paraId="4E1BD985" w14:textId="77777777" w:rsidR="0006079A" w:rsidRDefault="0006079A" w:rsidP="00E64072">
      <w:pPr>
        <w:pStyle w:val="Heading1"/>
      </w:pPr>
      <w:r>
        <w:t>Growth Metrics</w:t>
      </w:r>
    </w:p>
    <w:p w14:paraId="3FCBD494" w14:textId="6F808655" w:rsidR="00526255" w:rsidRDefault="002E55D0" w:rsidP="0006079A">
      <w:r>
        <w:t xml:space="preserve">Here are some of the key metrics to consider. In general, I like to look for management’s ability to increase return on equity and invested capital, rely little on debt, and have ample liquidity to handle volatile times. Though this snapshot is over the past 5 years, if you go back further in time you’ll see improvement across all these metrics since the beginning of MPS’ formation. </w:t>
      </w:r>
    </w:p>
    <w:p w14:paraId="3F22FEFC" w14:textId="788C53C8" w:rsidR="00526255" w:rsidRDefault="002E55D0" w:rsidP="0006079A">
      <w:r>
        <w:t>I can’t say I like any single thing here the most, but I do like to see that management is disciplined  about managing debt and cash and being able to consistently return value to shareholders year after year.</w:t>
      </w:r>
    </w:p>
    <w:tbl>
      <w:tblPr>
        <w:tblStyle w:val="TableGrid"/>
        <w:tblW w:w="9373" w:type="dxa"/>
        <w:tblLook w:val="04A0" w:firstRow="1" w:lastRow="0" w:firstColumn="1" w:lastColumn="0" w:noHBand="0" w:noVBand="1"/>
      </w:tblPr>
      <w:tblGrid>
        <w:gridCol w:w="1602"/>
        <w:gridCol w:w="1602"/>
        <w:gridCol w:w="1603"/>
        <w:gridCol w:w="1603"/>
        <w:gridCol w:w="1603"/>
        <w:gridCol w:w="1360"/>
      </w:tblGrid>
      <w:tr w:rsidR="00526255" w14:paraId="6C72A8C0" w14:textId="77777777" w:rsidTr="00526255">
        <w:trPr>
          <w:trHeight w:val="305"/>
        </w:trPr>
        <w:tc>
          <w:tcPr>
            <w:tcW w:w="1602" w:type="dxa"/>
          </w:tcPr>
          <w:p w14:paraId="769F5FA4" w14:textId="79E6C8FC" w:rsidR="00526255" w:rsidRPr="002E55D0" w:rsidRDefault="00526255" w:rsidP="00526255">
            <w:pPr>
              <w:jc w:val="center"/>
              <w:rPr>
                <w:b/>
                <w:bCs/>
                <w:u w:val="single"/>
              </w:rPr>
            </w:pPr>
            <w:r w:rsidRPr="002E55D0">
              <w:rPr>
                <w:b/>
                <w:bCs/>
                <w:u w:val="single"/>
              </w:rPr>
              <w:t>Metric</w:t>
            </w:r>
          </w:p>
        </w:tc>
        <w:tc>
          <w:tcPr>
            <w:tcW w:w="1602" w:type="dxa"/>
          </w:tcPr>
          <w:p w14:paraId="5B250266" w14:textId="31D8F0D5" w:rsidR="00526255" w:rsidRPr="002E55D0" w:rsidRDefault="00526255" w:rsidP="00526255">
            <w:pPr>
              <w:jc w:val="center"/>
              <w:rPr>
                <w:b/>
                <w:bCs/>
                <w:u w:val="single"/>
              </w:rPr>
            </w:pPr>
            <w:r w:rsidRPr="002E55D0">
              <w:rPr>
                <w:b/>
                <w:bCs/>
                <w:u w:val="single"/>
              </w:rPr>
              <w:t>2023</w:t>
            </w:r>
          </w:p>
        </w:tc>
        <w:tc>
          <w:tcPr>
            <w:tcW w:w="1603" w:type="dxa"/>
          </w:tcPr>
          <w:p w14:paraId="35D9EB95" w14:textId="7CD3AE4D" w:rsidR="00526255" w:rsidRPr="002E55D0" w:rsidRDefault="00526255" w:rsidP="00526255">
            <w:pPr>
              <w:jc w:val="center"/>
              <w:rPr>
                <w:b/>
                <w:bCs/>
                <w:u w:val="single"/>
              </w:rPr>
            </w:pPr>
            <w:r w:rsidRPr="002E55D0">
              <w:rPr>
                <w:b/>
                <w:bCs/>
                <w:u w:val="single"/>
              </w:rPr>
              <w:t>2022</w:t>
            </w:r>
          </w:p>
        </w:tc>
        <w:tc>
          <w:tcPr>
            <w:tcW w:w="1603" w:type="dxa"/>
          </w:tcPr>
          <w:p w14:paraId="042F7585" w14:textId="0A455D84" w:rsidR="00526255" w:rsidRPr="002E55D0" w:rsidRDefault="00526255" w:rsidP="00526255">
            <w:pPr>
              <w:jc w:val="center"/>
              <w:rPr>
                <w:b/>
                <w:bCs/>
                <w:u w:val="single"/>
              </w:rPr>
            </w:pPr>
            <w:r w:rsidRPr="002E55D0">
              <w:rPr>
                <w:b/>
                <w:bCs/>
                <w:u w:val="single"/>
              </w:rPr>
              <w:t>2021</w:t>
            </w:r>
          </w:p>
        </w:tc>
        <w:tc>
          <w:tcPr>
            <w:tcW w:w="1603" w:type="dxa"/>
          </w:tcPr>
          <w:p w14:paraId="2BBC203F" w14:textId="23952CFB" w:rsidR="00526255" w:rsidRPr="002E55D0" w:rsidRDefault="00526255" w:rsidP="00526255">
            <w:pPr>
              <w:jc w:val="center"/>
              <w:rPr>
                <w:b/>
                <w:bCs/>
                <w:u w:val="single"/>
              </w:rPr>
            </w:pPr>
            <w:r w:rsidRPr="002E55D0">
              <w:rPr>
                <w:b/>
                <w:bCs/>
                <w:u w:val="single"/>
              </w:rPr>
              <w:t>2020</w:t>
            </w:r>
          </w:p>
        </w:tc>
        <w:tc>
          <w:tcPr>
            <w:tcW w:w="1360" w:type="dxa"/>
          </w:tcPr>
          <w:p w14:paraId="6B2DDBD0" w14:textId="7C29E76A" w:rsidR="00526255" w:rsidRPr="002E55D0" w:rsidRDefault="00526255" w:rsidP="00526255">
            <w:pPr>
              <w:jc w:val="center"/>
              <w:rPr>
                <w:b/>
                <w:bCs/>
                <w:u w:val="single"/>
              </w:rPr>
            </w:pPr>
            <w:r w:rsidRPr="002E55D0">
              <w:rPr>
                <w:b/>
                <w:bCs/>
                <w:u w:val="single"/>
              </w:rPr>
              <w:t>2019</w:t>
            </w:r>
          </w:p>
        </w:tc>
      </w:tr>
      <w:tr w:rsidR="00526255" w14:paraId="45387CD4" w14:textId="77777777" w:rsidTr="004E1480">
        <w:trPr>
          <w:trHeight w:val="305"/>
        </w:trPr>
        <w:tc>
          <w:tcPr>
            <w:tcW w:w="1602" w:type="dxa"/>
          </w:tcPr>
          <w:p w14:paraId="05C0C62A" w14:textId="56FED49E" w:rsidR="00526255" w:rsidRDefault="00526255" w:rsidP="0006079A">
            <w:r>
              <w:t>ROE</w:t>
            </w:r>
            <w:r w:rsidR="004E1480">
              <w:t xml:space="preserve"> [%]</w:t>
            </w:r>
          </w:p>
        </w:tc>
        <w:tc>
          <w:tcPr>
            <w:tcW w:w="1602" w:type="dxa"/>
            <w:vAlign w:val="center"/>
          </w:tcPr>
          <w:p w14:paraId="4F7EE8D6" w14:textId="31EEE871" w:rsidR="00526255" w:rsidRDefault="004E1480" w:rsidP="004E1480">
            <w:pPr>
              <w:jc w:val="center"/>
            </w:pPr>
            <w:r>
              <w:t>22.99</w:t>
            </w:r>
          </w:p>
        </w:tc>
        <w:tc>
          <w:tcPr>
            <w:tcW w:w="1603" w:type="dxa"/>
            <w:vAlign w:val="center"/>
          </w:tcPr>
          <w:p w14:paraId="52B740B1" w14:textId="355816E3" w:rsidR="00526255" w:rsidRDefault="004E1480" w:rsidP="004E1480">
            <w:pPr>
              <w:jc w:val="center"/>
            </w:pPr>
            <w:r>
              <w:t>30.05</w:t>
            </w:r>
          </w:p>
        </w:tc>
        <w:tc>
          <w:tcPr>
            <w:tcW w:w="1603" w:type="dxa"/>
            <w:vAlign w:val="center"/>
          </w:tcPr>
          <w:p w14:paraId="5B39B62B" w14:textId="0F72C228" w:rsidR="00526255" w:rsidRDefault="004E1480" w:rsidP="004E1480">
            <w:pPr>
              <w:jc w:val="center"/>
            </w:pPr>
            <w:r>
              <w:t>21.9</w:t>
            </w:r>
          </w:p>
        </w:tc>
        <w:tc>
          <w:tcPr>
            <w:tcW w:w="1603" w:type="dxa"/>
            <w:vAlign w:val="center"/>
          </w:tcPr>
          <w:p w14:paraId="500E70BA" w14:textId="408F3B25" w:rsidR="00526255" w:rsidRDefault="004E1480" w:rsidP="004E1480">
            <w:pPr>
              <w:jc w:val="center"/>
            </w:pPr>
            <w:r>
              <w:t>18.89</w:t>
            </w:r>
          </w:p>
        </w:tc>
        <w:tc>
          <w:tcPr>
            <w:tcW w:w="1360" w:type="dxa"/>
            <w:vAlign w:val="center"/>
          </w:tcPr>
          <w:p w14:paraId="550778FE" w14:textId="51DCC046" w:rsidR="00526255" w:rsidRDefault="004E1480" w:rsidP="004E1480">
            <w:pPr>
              <w:jc w:val="center"/>
            </w:pPr>
            <w:r>
              <w:t>15.4</w:t>
            </w:r>
          </w:p>
        </w:tc>
      </w:tr>
      <w:tr w:rsidR="00526255" w14:paraId="1ED727DF" w14:textId="77777777" w:rsidTr="004E1480">
        <w:trPr>
          <w:trHeight w:val="305"/>
        </w:trPr>
        <w:tc>
          <w:tcPr>
            <w:tcW w:w="1602" w:type="dxa"/>
          </w:tcPr>
          <w:p w14:paraId="2319992C" w14:textId="38EC7A98" w:rsidR="00526255" w:rsidRDefault="00526255" w:rsidP="0006079A">
            <w:r>
              <w:t>ROIC</w:t>
            </w:r>
            <w:r w:rsidR="004E1480">
              <w:t xml:space="preserve"> [%]</w:t>
            </w:r>
          </w:p>
        </w:tc>
        <w:tc>
          <w:tcPr>
            <w:tcW w:w="1602" w:type="dxa"/>
            <w:vAlign w:val="center"/>
          </w:tcPr>
          <w:p w14:paraId="281603C1" w14:textId="60FC7383" w:rsidR="00526255" w:rsidRDefault="004E1480" w:rsidP="004E1480">
            <w:pPr>
              <w:jc w:val="center"/>
            </w:pPr>
            <w:r>
              <w:t>21.86</w:t>
            </w:r>
          </w:p>
        </w:tc>
        <w:tc>
          <w:tcPr>
            <w:tcW w:w="1603" w:type="dxa"/>
            <w:vAlign w:val="center"/>
          </w:tcPr>
          <w:p w14:paraId="6F9AC3A0" w14:textId="5245F608" w:rsidR="00526255" w:rsidRDefault="004E1480" w:rsidP="004E1480">
            <w:pPr>
              <w:jc w:val="center"/>
            </w:pPr>
            <w:r>
              <w:t>29.23</w:t>
            </w:r>
          </w:p>
        </w:tc>
        <w:tc>
          <w:tcPr>
            <w:tcW w:w="1603" w:type="dxa"/>
            <w:vAlign w:val="center"/>
          </w:tcPr>
          <w:p w14:paraId="1F4FBA07" w14:textId="5C15FADE" w:rsidR="00526255" w:rsidRDefault="004E1480" w:rsidP="004E1480">
            <w:pPr>
              <w:jc w:val="center"/>
            </w:pPr>
            <w:r>
              <w:t>20.96</w:t>
            </w:r>
          </w:p>
        </w:tc>
        <w:tc>
          <w:tcPr>
            <w:tcW w:w="1603" w:type="dxa"/>
            <w:vAlign w:val="center"/>
          </w:tcPr>
          <w:p w14:paraId="50A05D68" w14:textId="6B37F099" w:rsidR="00526255" w:rsidRDefault="004E1480" w:rsidP="004E1480">
            <w:pPr>
              <w:jc w:val="center"/>
            </w:pPr>
            <w:r>
              <w:t>17.80</w:t>
            </w:r>
          </w:p>
        </w:tc>
        <w:tc>
          <w:tcPr>
            <w:tcW w:w="1360" w:type="dxa"/>
            <w:vAlign w:val="center"/>
          </w:tcPr>
          <w:p w14:paraId="332C47D5" w14:textId="1CC9225C" w:rsidR="00526255" w:rsidRDefault="004E1480" w:rsidP="004E1480">
            <w:pPr>
              <w:jc w:val="center"/>
            </w:pPr>
            <w:r>
              <w:t>14.36</w:t>
            </w:r>
          </w:p>
        </w:tc>
      </w:tr>
      <w:tr w:rsidR="00526255" w14:paraId="4F0DC53A" w14:textId="77777777" w:rsidTr="004E1480">
        <w:trPr>
          <w:trHeight w:val="294"/>
        </w:trPr>
        <w:tc>
          <w:tcPr>
            <w:tcW w:w="1602" w:type="dxa"/>
          </w:tcPr>
          <w:p w14:paraId="3F21497D" w14:textId="057EDAA3" w:rsidR="00526255" w:rsidRDefault="00526255" w:rsidP="0006079A">
            <w:r>
              <w:t>Cash flow / Net income</w:t>
            </w:r>
          </w:p>
        </w:tc>
        <w:tc>
          <w:tcPr>
            <w:tcW w:w="1602" w:type="dxa"/>
            <w:vAlign w:val="center"/>
          </w:tcPr>
          <w:p w14:paraId="7B0D1214" w14:textId="37E09A7B" w:rsidR="00526255" w:rsidRDefault="004E1480" w:rsidP="004E1480">
            <w:pPr>
              <w:jc w:val="center"/>
            </w:pPr>
            <w:r>
              <w:t>1.36</w:t>
            </w:r>
          </w:p>
        </w:tc>
        <w:tc>
          <w:tcPr>
            <w:tcW w:w="1603" w:type="dxa"/>
            <w:vAlign w:val="center"/>
          </w:tcPr>
          <w:p w14:paraId="3F7B8905" w14:textId="0D16B2BB" w:rsidR="00526255" w:rsidRDefault="004E1480" w:rsidP="004E1480">
            <w:pPr>
              <w:jc w:val="center"/>
            </w:pPr>
            <w:r>
              <w:t>.43</w:t>
            </w:r>
          </w:p>
        </w:tc>
        <w:tc>
          <w:tcPr>
            <w:tcW w:w="1603" w:type="dxa"/>
            <w:vAlign w:val="center"/>
          </w:tcPr>
          <w:p w14:paraId="0144531F" w14:textId="134A597A" w:rsidR="00526255" w:rsidRDefault="004E1480" w:rsidP="004E1480">
            <w:pPr>
              <w:jc w:val="center"/>
            </w:pPr>
            <w:r>
              <w:t>.93</w:t>
            </w:r>
          </w:p>
        </w:tc>
        <w:tc>
          <w:tcPr>
            <w:tcW w:w="1603" w:type="dxa"/>
            <w:vAlign w:val="center"/>
          </w:tcPr>
          <w:p w14:paraId="3535789F" w14:textId="42159B67" w:rsidR="00526255" w:rsidRDefault="004E1480" w:rsidP="004E1480">
            <w:pPr>
              <w:jc w:val="center"/>
            </w:pPr>
            <w:r>
              <w:t>1.29</w:t>
            </w:r>
          </w:p>
        </w:tc>
        <w:tc>
          <w:tcPr>
            <w:tcW w:w="1360" w:type="dxa"/>
            <w:vAlign w:val="center"/>
          </w:tcPr>
          <w:p w14:paraId="5F61339E" w14:textId="7956162A" w:rsidR="00526255" w:rsidRDefault="004E1480" w:rsidP="004E1480">
            <w:pPr>
              <w:jc w:val="center"/>
            </w:pPr>
            <w:r>
              <w:t>1.1</w:t>
            </w:r>
          </w:p>
        </w:tc>
      </w:tr>
      <w:tr w:rsidR="00526255" w14:paraId="60EAD9FA" w14:textId="77777777" w:rsidTr="004E1480">
        <w:trPr>
          <w:trHeight w:val="305"/>
        </w:trPr>
        <w:tc>
          <w:tcPr>
            <w:tcW w:w="1602" w:type="dxa"/>
          </w:tcPr>
          <w:p w14:paraId="5E54110B" w14:textId="7FEFE9F2" w:rsidR="00526255" w:rsidRDefault="004E1480" w:rsidP="0006079A">
            <w:r>
              <w:t>Net Margin [%]</w:t>
            </w:r>
          </w:p>
        </w:tc>
        <w:tc>
          <w:tcPr>
            <w:tcW w:w="1602" w:type="dxa"/>
            <w:vAlign w:val="center"/>
          </w:tcPr>
          <w:p w14:paraId="5A1EBE11" w14:textId="4FE843ED" w:rsidR="00526255" w:rsidRDefault="004E1480" w:rsidP="004E1480">
            <w:pPr>
              <w:jc w:val="center"/>
            </w:pPr>
            <w:r>
              <w:t>23.47</w:t>
            </w:r>
          </w:p>
        </w:tc>
        <w:tc>
          <w:tcPr>
            <w:tcW w:w="1603" w:type="dxa"/>
            <w:vAlign w:val="center"/>
          </w:tcPr>
          <w:p w14:paraId="686E81AB" w14:textId="1C82C50C" w:rsidR="00526255" w:rsidRDefault="004E1480" w:rsidP="004E1480">
            <w:pPr>
              <w:jc w:val="center"/>
            </w:pPr>
            <w:r>
              <w:t>24.39</w:t>
            </w:r>
          </w:p>
        </w:tc>
        <w:tc>
          <w:tcPr>
            <w:tcW w:w="1603" w:type="dxa"/>
            <w:vAlign w:val="center"/>
          </w:tcPr>
          <w:p w14:paraId="727161BF" w14:textId="5FCE310D" w:rsidR="00526255" w:rsidRDefault="004E1480" w:rsidP="004E1480">
            <w:pPr>
              <w:jc w:val="center"/>
            </w:pPr>
            <w:r>
              <w:t>20.04</w:t>
            </w:r>
          </w:p>
        </w:tc>
        <w:tc>
          <w:tcPr>
            <w:tcW w:w="1603" w:type="dxa"/>
            <w:vAlign w:val="center"/>
          </w:tcPr>
          <w:p w14:paraId="02BFDA6C" w14:textId="043CBBCF" w:rsidR="00526255" w:rsidRDefault="004E1480" w:rsidP="004E1480">
            <w:pPr>
              <w:jc w:val="center"/>
            </w:pPr>
            <w:r>
              <w:t>19.47</w:t>
            </w:r>
          </w:p>
        </w:tc>
        <w:tc>
          <w:tcPr>
            <w:tcW w:w="1360" w:type="dxa"/>
            <w:vAlign w:val="center"/>
          </w:tcPr>
          <w:p w14:paraId="152B026E" w14:textId="28FD9FE2" w:rsidR="00526255" w:rsidRDefault="004E1480" w:rsidP="004E1480">
            <w:pPr>
              <w:jc w:val="center"/>
            </w:pPr>
            <w:r>
              <w:t>17.33</w:t>
            </w:r>
          </w:p>
        </w:tc>
      </w:tr>
      <w:tr w:rsidR="004E1480" w14:paraId="11716D01" w14:textId="77777777" w:rsidTr="004E1480">
        <w:trPr>
          <w:trHeight w:val="305"/>
        </w:trPr>
        <w:tc>
          <w:tcPr>
            <w:tcW w:w="1602" w:type="dxa"/>
          </w:tcPr>
          <w:p w14:paraId="354704C4" w14:textId="0A1DDE0A" w:rsidR="004E1480" w:rsidRDefault="004E1480" w:rsidP="0006079A">
            <w:r>
              <w:t>Debt / Equity</w:t>
            </w:r>
          </w:p>
        </w:tc>
        <w:tc>
          <w:tcPr>
            <w:tcW w:w="1602" w:type="dxa"/>
            <w:vAlign w:val="center"/>
          </w:tcPr>
          <w:p w14:paraId="008EA16F" w14:textId="28536D5F" w:rsidR="004E1480" w:rsidRDefault="004E1480" w:rsidP="004E1480">
            <w:pPr>
              <w:jc w:val="center"/>
            </w:pPr>
            <w:r>
              <w:t>.002</w:t>
            </w:r>
          </w:p>
        </w:tc>
        <w:tc>
          <w:tcPr>
            <w:tcW w:w="1603" w:type="dxa"/>
            <w:vAlign w:val="center"/>
          </w:tcPr>
          <w:p w14:paraId="7AD3C4B6" w14:textId="23979102" w:rsidR="004E1480" w:rsidRDefault="004E1480" w:rsidP="004E1480">
            <w:pPr>
              <w:jc w:val="center"/>
            </w:pPr>
            <w:r>
              <w:t>-</w:t>
            </w:r>
          </w:p>
        </w:tc>
        <w:tc>
          <w:tcPr>
            <w:tcW w:w="1603" w:type="dxa"/>
            <w:vAlign w:val="center"/>
          </w:tcPr>
          <w:p w14:paraId="292E6C76" w14:textId="08A2B5BF" w:rsidR="004E1480" w:rsidRDefault="004E1480" w:rsidP="004E1480">
            <w:pPr>
              <w:jc w:val="center"/>
            </w:pPr>
            <w:r>
              <w:t>-</w:t>
            </w:r>
          </w:p>
        </w:tc>
        <w:tc>
          <w:tcPr>
            <w:tcW w:w="1603" w:type="dxa"/>
            <w:vAlign w:val="center"/>
          </w:tcPr>
          <w:p w14:paraId="7503B0EC" w14:textId="34F38A38" w:rsidR="004E1480" w:rsidRDefault="004E1480" w:rsidP="004E1480">
            <w:pPr>
              <w:jc w:val="center"/>
            </w:pPr>
            <w:r>
              <w:t>.003</w:t>
            </w:r>
          </w:p>
        </w:tc>
        <w:tc>
          <w:tcPr>
            <w:tcW w:w="1360" w:type="dxa"/>
            <w:vAlign w:val="center"/>
          </w:tcPr>
          <w:p w14:paraId="29A74792" w14:textId="7AF2C706" w:rsidR="004E1480" w:rsidRDefault="004E1480" w:rsidP="004E1480">
            <w:pPr>
              <w:jc w:val="center"/>
            </w:pPr>
            <w:r>
              <w:t>.002</w:t>
            </w:r>
          </w:p>
        </w:tc>
      </w:tr>
      <w:tr w:rsidR="00526255" w14:paraId="66CF4840" w14:textId="77777777" w:rsidTr="004E1480">
        <w:trPr>
          <w:trHeight w:val="305"/>
        </w:trPr>
        <w:tc>
          <w:tcPr>
            <w:tcW w:w="1602" w:type="dxa"/>
          </w:tcPr>
          <w:p w14:paraId="2CB927AF" w14:textId="15BC3C93" w:rsidR="00526255" w:rsidRDefault="00526255" w:rsidP="0006079A">
            <w:r>
              <w:t>Quick ratio</w:t>
            </w:r>
          </w:p>
        </w:tc>
        <w:tc>
          <w:tcPr>
            <w:tcW w:w="1602" w:type="dxa"/>
            <w:vAlign w:val="center"/>
          </w:tcPr>
          <w:p w14:paraId="56343293" w14:textId="482A2A7E" w:rsidR="00526255" w:rsidRDefault="004E1480" w:rsidP="004E1480">
            <w:pPr>
              <w:jc w:val="center"/>
            </w:pPr>
            <w:r>
              <w:t>5.78</w:t>
            </w:r>
          </w:p>
        </w:tc>
        <w:tc>
          <w:tcPr>
            <w:tcW w:w="1603" w:type="dxa"/>
            <w:vAlign w:val="center"/>
          </w:tcPr>
          <w:p w14:paraId="2B850E9D" w14:textId="3B11CF85" w:rsidR="00526255" w:rsidRDefault="004E1480" w:rsidP="004E1480">
            <w:pPr>
              <w:jc w:val="center"/>
            </w:pPr>
            <w:r>
              <w:t>3.58</w:t>
            </w:r>
          </w:p>
        </w:tc>
        <w:tc>
          <w:tcPr>
            <w:tcW w:w="1603" w:type="dxa"/>
            <w:vAlign w:val="center"/>
          </w:tcPr>
          <w:p w14:paraId="2A8E7561" w14:textId="53C4AF82" w:rsidR="00526255" w:rsidRDefault="004E1480" w:rsidP="004E1480">
            <w:pPr>
              <w:jc w:val="center"/>
            </w:pPr>
            <w:r>
              <w:t>3.75</w:t>
            </w:r>
          </w:p>
        </w:tc>
        <w:tc>
          <w:tcPr>
            <w:tcW w:w="1603" w:type="dxa"/>
            <w:vAlign w:val="center"/>
          </w:tcPr>
          <w:p w14:paraId="3639C3A2" w14:textId="1BD88DA2" w:rsidR="00526255" w:rsidRDefault="004E1480" w:rsidP="004E1480">
            <w:pPr>
              <w:jc w:val="center"/>
            </w:pPr>
            <w:r>
              <w:t>4.60</w:t>
            </w:r>
          </w:p>
        </w:tc>
        <w:tc>
          <w:tcPr>
            <w:tcW w:w="1360" w:type="dxa"/>
            <w:vAlign w:val="center"/>
          </w:tcPr>
          <w:p w14:paraId="6112FCEF" w14:textId="34DC8703" w:rsidR="00526255" w:rsidRDefault="004E1480" w:rsidP="004E1480">
            <w:pPr>
              <w:jc w:val="center"/>
            </w:pPr>
            <w:r>
              <w:t>5.26</w:t>
            </w:r>
          </w:p>
        </w:tc>
      </w:tr>
    </w:tbl>
    <w:p w14:paraId="66C6E16C" w14:textId="77777777" w:rsidR="00526255" w:rsidRDefault="00526255" w:rsidP="0006079A"/>
    <w:p w14:paraId="3D989E46" w14:textId="152B1781" w:rsidR="0006079A" w:rsidRDefault="0006079A" w:rsidP="00E64072">
      <w:pPr>
        <w:pStyle w:val="Heading1"/>
      </w:pPr>
      <w:r>
        <w:lastRenderedPageBreak/>
        <w:t>Moat</w:t>
      </w:r>
    </w:p>
    <w:p w14:paraId="50020011" w14:textId="587CB028" w:rsidR="00332319" w:rsidRDefault="00332319" w:rsidP="002E55D0">
      <w:r>
        <w:t xml:space="preserve">MPS is very clear about their value proposition AND it’s in their name! Monolithic circuits refer to integrated circuits where all components (transistors, resistors, capacitors, etc.) are fabricated onto a single piece of semiconductor. They do this through their proprietary bipolar-CMOS-DMOS (BCD) process technology which is now in its </w:t>
      </w:r>
      <w:r w:rsidRPr="00332319">
        <w:rPr>
          <w:u w:val="single"/>
        </w:rPr>
        <w:t>sixth generation</w:t>
      </w:r>
      <w:r>
        <w:t>. Monolith focuses on highly integrated power management chips.</w:t>
      </w:r>
    </w:p>
    <w:p w14:paraId="0605A41C" w14:textId="07AE97CB" w:rsidR="002E55D0" w:rsidRPr="002E55D0" w:rsidRDefault="00332319" w:rsidP="002E55D0">
      <w:r>
        <w:t>Customers prioritize reliability</w:t>
      </w:r>
    </w:p>
    <w:p w14:paraId="2ACB4BEF" w14:textId="73FF6ACA" w:rsidR="0006079A" w:rsidRDefault="0006079A" w:rsidP="00E64072">
      <w:pPr>
        <w:pStyle w:val="Heading1"/>
      </w:pPr>
      <w:r>
        <w:t>Risks</w:t>
      </w:r>
    </w:p>
    <w:p w14:paraId="0EF79FA1" w14:textId="666171D3" w:rsidR="00E64072" w:rsidRDefault="00E64072">
      <w:r>
        <w:t>Bigger players and China</w:t>
      </w:r>
    </w:p>
    <w:p w14:paraId="2041BEB0" w14:textId="23008E54" w:rsidR="0006079A" w:rsidRDefault="00CB1E05" w:rsidP="00E64072">
      <w:pPr>
        <w:pStyle w:val="Heading1"/>
      </w:pPr>
      <w:r>
        <w:t>Sustained Alpha</w:t>
      </w:r>
    </w:p>
    <w:p w14:paraId="075B25AA" w14:textId="77777777" w:rsidR="00917F3B" w:rsidRDefault="00917F3B"/>
    <w:p w14:paraId="4FF324EA" w14:textId="77777777" w:rsidR="00917F3B" w:rsidRDefault="00917F3B"/>
    <w:sectPr w:rsidR="0091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F3B"/>
    <w:rsid w:val="0006079A"/>
    <w:rsid w:val="002E55D0"/>
    <w:rsid w:val="00317B82"/>
    <w:rsid w:val="00332319"/>
    <w:rsid w:val="0041261D"/>
    <w:rsid w:val="004E1480"/>
    <w:rsid w:val="00526255"/>
    <w:rsid w:val="005F0504"/>
    <w:rsid w:val="007150A2"/>
    <w:rsid w:val="007E7826"/>
    <w:rsid w:val="00877167"/>
    <w:rsid w:val="00917F3B"/>
    <w:rsid w:val="009E59AB"/>
    <w:rsid w:val="00A11001"/>
    <w:rsid w:val="00A8125D"/>
    <w:rsid w:val="00B014F2"/>
    <w:rsid w:val="00B14608"/>
    <w:rsid w:val="00CB1E05"/>
    <w:rsid w:val="00DA1F35"/>
    <w:rsid w:val="00DD1BBB"/>
    <w:rsid w:val="00E6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E13D"/>
  <w15:chartTrackingRefBased/>
  <w15:docId w15:val="{AE224ED8-986F-4916-978F-E2B23EF7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F3B"/>
    <w:rPr>
      <w:rFonts w:eastAsiaTheme="majorEastAsia" w:cstheme="majorBidi"/>
      <w:color w:val="272727" w:themeColor="text1" w:themeTint="D8"/>
    </w:rPr>
  </w:style>
  <w:style w:type="paragraph" w:styleId="Title">
    <w:name w:val="Title"/>
    <w:basedOn w:val="Normal"/>
    <w:next w:val="Normal"/>
    <w:link w:val="TitleChar"/>
    <w:uiPriority w:val="10"/>
    <w:qFormat/>
    <w:rsid w:val="00917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F3B"/>
    <w:pPr>
      <w:spacing w:before="160"/>
      <w:jc w:val="center"/>
    </w:pPr>
    <w:rPr>
      <w:i/>
      <w:iCs/>
      <w:color w:val="404040" w:themeColor="text1" w:themeTint="BF"/>
    </w:rPr>
  </w:style>
  <w:style w:type="character" w:customStyle="1" w:styleId="QuoteChar">
    <w:name w:val="Quote Char"/>
    <w:basedOn w:val="DefaultParagraphFont"/>
    <w:link w:val="Quote"/>
    <w:uiPriority w:val="29"/>
    <w:rsid w:val="00917F3B"/>
    <w:rPr>
      <w:i/>
      <w:iCs/>
      <w:color w:val="404040" w:themeColor="text1" w:themeTint="BF"/>
    </w:rPr>
  </w:style>
  <w:style w:type="paragraph" w:styleId="ListParagraph">
    <w:name w:val="List Paragraph"/>
    <w:basedOn w:val="Normal"/>
    <w:uiPriority w:val="34"/>
    <w:qFormat/>
    <w:rsid w:val="00917F3B"/>
    <w:pPr>
      <w:ind w:left="720"/>
      <w:contextualSpacing/>
    </w:pPr>
  </w:style>
  <w:style w:type="character" w:styleId="IntenseEmphasis">
    <w:name w:val="Intense Emphasis"/>
    <w:basedOn w:val="DefaultParagraphFont"/>
    <w:uiPriority w:val="21"/>
    <w:qFormat/>
    <w:rsid w:val="00917F3B"/>
    <w:rPr>
      <w:i/>
      <w:iCs/>
      <w:color w:val="0F4761" w:themeColor="accent1" w:themeShade="BF"/>
    </w:rPr>
  </w:style>
  <w:style w:type="paragraph" w:styleId="IntenseQuote">
    <w:name w:val="Intense Quote"/>
    <w:basedOn w:val="Normal"/>
    <w:next w:val="Normal"/>
    <w:link w:val="IntenseQuoteChar"/>
    <w:uiPriority w:val="30"/>
    <w:qFormat/>
    <w:rsid w:val="00917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F3B"/>
    <w:rPr>
      <w:i/>
      <w:iCs/>
      <w:color w:val="0F4761" w:themeColor="accent1" w:themeShade="BF"/>
    </w:rPr>
  </w:style>
  <w:style w:type="character" w:styleId="IntenseReference">
    <w:name w:val="Intense Reference"/>
    <w:basedOn w:val="DefaultParagraphFont"/>
    <w:uiPriority w:val="32"/>
    <w:qFormat/>
    <w:rsid w:val="00917F3B"/>
    <w:rPr>
      <w:b/>
      <w:bCs/>
      <w:smallCaps/>
      <w:color w:val="0F4761" w:themeColor="accent1" w:themeShade="BF"/>
      <w:spacing w:val="5"/>
    </w:rPr>
  </w:style>
  <w:style w:type="table" w:styleId="TableGrid">
    <w:name w:val="Table Grid"/>
    <w:basedOn w:val="TableNormal"/>
    <w:uiPriority w:val="39"/>
    <w:rsid w:val="005F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431</TotalTime>
  <Pages>3</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Mark</dc:creator>
  <cp:keywords/>
  <dc:description/>
  <cp:lastModifiedBy>Chung, Mark</cp:lastModifiedBy>
  <cp:revision>12</cp:revision>
  <dcterms:created xsi:type="dcterms:W3CDTF">2024-10-26T05:05:00Z</dcterms:created>
  <dcterms:modified xsi:type="dcterms:W3CDTF">2024-11-04T04:21:00Z</dcterms:modified>
</cp:coreProperties>
</file>