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0272F" w14:textId="19A32C79" w:rsidR="007150A2" w:rsidRPr="00C22C47" w:rsidRDefault="000F112B" w:rsidP="00FB3C63">
      <w:pPr>
        <w:pStyle w:val="Title"/>
        <w:rPr>
          <w:color w:val="000000" w:themeColor="text1"/>
        </w:rPr>
      </w:pPr>
      <w:r w:rsidRPr="00C22C47">
        <w:rPr>
          <w:color w:val="000000" w:themeColor="text1"/>
        </w:rPr>
        <w:t>Mission Innovation – Hydrogen Sustainability Assessment</w:t>
      </w:r>
    </w:p>
    <w:p w14:paraId="3C5211C7" w14:textId="2A5DFC5C" w:rsidR="00423DAB" w:rsidRPr="00C22C47" w:rsidRDefault="00423DAB">
      <w:pPr>
        <w:spacing w:before="0"/>
        <w:jc w:val="left"/>
        <w:rPr>
          <w:color w:val="000000" w:themeColor="text1"/>
        </w:rPr>
      </w:pPr>
      <w:r w:rsidRPr="00C22C47">
        <w:rPr>
          <w:color w:val="000000" w:themeColor="text1"/>
        </w:rPr>
        <w:br w:type="page"/>
      </w:r>
    </w:p>
    <w:p w14:paraId="0F93F422" w14:textId="0E4C50DE" w:rsidR="004D78C5" w:rsidRPr="004D78C5" w:rsidRDefault="004D78C5">
      <w:pPr>
        <w:spacing w:before="0"/>
        <w:jc w:val="left"/>
        <w:rPr>
          <w:b/>
          <w:bCs/>
          <w:color w:val="000000" w:themeColor="text1"/>
          <w:sz w:val="24"/>
          <w:szCs w:val="24"/>
        </w:rPr>
      </w:pPr>
      <w:r w:rsidRPr="004D78C5">
        <w:rPr>
          <w:b/>
          <w:bCs/>
          <w:color w:val="000000" w:themeColor="text1"/>
          <w:sz w:val="24"/>
          <w:szCs w:val="24"/>
        </w:rPr>
        <w:t>Table of Contents</w:t>
      </w:r>
    </w:p>
    <w:sdt>
      <w:sdtPr>
        <w:rPr>
          <w:color w:val="000000" w:themeColor="text1"/>
        </w:rPr>
        <w:id w:val="1649946412"/>
        <w:docPartObj>
          <w:docPartGallery w:val="Table of Contents"/>
          <w:docPartUnique/>
        </w:docPartObj>
      </w:sdtPr>
      <w:sdtEndPr>
        <w:rPr>
          <w:b/>
          <w:bCs/>
          <w:noProof/>
        </w:rPr>
      </w:sdtEndPr>
      <w:sdtContent>
        <w:p w14:paraId="19081F65" w14:textId="24717D8E" w:rsidR="0061780E" w:rsidRDefault="001C0EDF">
          <w:pPr>
            <w:pStyle w:val="TOC1"/>
            <w:tabs>
              <w:tab w:val="left" w:pos="440"/>
              <w:tab w:val="right" w:leader="dot" w:pos="9350"/>
            </w:tabs>
            <w:rPr>
              <w:rFonts w:eastAsiaTheme="minorEastAsia"/>
              <w:noProof/>
            </w:rPr>
          </w:pPr>
          <w:r w:rsidRPr="00C22C47">
            <w:rPr>
              <w:color w:val="000000" w:themeColor="text1"/>
            </w:rPr>
            <w:fldChar w:fldCharType="begin"/>
          </w:r>
          <w:r w:rsidRPr="002621BB">
            <w:rPr>
              <w:color w:val="000000" w:themeColor="text1"/>
            </w:rPr>
            <w:instrText xml:space="preserve"> TOC \o "1-3" \h \z \u </w:instrText>
          </w:r>
          <w:r w:rsidRPr="00C22C47">
            <w:rPr>
              <w:color w:val="000000" w:themeColor="text1"/>
            </w:rPr>
            <w:fldChar w:fldCharType="separate"/>
          </w:r>
          <w:hyperlink w:anchor="_Toc146147226" w:history="1">
            <w:r w:rsidR="0061780E" w:rsidRPr="003A25C1">
              <w:rPr>
                <w:rStyle w:val="Hyperlink"/>
                <w:noProof/>
              </w:rPr>
              <w:t>1.</w:t>
            </w:r>
            <w:r w:rsidR="0061780E">
              <w:rPr>
                <w:rFonts w:eastAsiaTheme="minorEastAsia"/>
                <w:noProof/>
              </w:rPr>
              <w:tab/>
            </w:r>
            <w:r w:rsidR="0061780E" w:rsidRPr="003A25C1">
              <w:rPr>
                <w:rStyle w:val="Hyperlink"/>
                <w:noProof/>
              </w:rPr>
              <w:t>Introduction</w:t>
            </w:r>
            <w:r w:rsidR="0061780E">
              <w:rPr>
                <w:noProof/>
                <w:webHidden/>
              </w:rPr>
              <w:tab/>
            </w:r>
            <w:r w:rsidR="0061780E">
              <w:rPr>
                <w:noProof/>
                <w:webHidden/>
              </w:rPr>
              <w:fldChar w:fldCharType="begin"/>
            </w:r>
            <w:r w:rsidR="0061780E">
              <w:rPr>
                <w:noProof/>
                <w:webHidden/>
              </w:rPr>
              <w:instrText xml:space="preserve"> PAGEREF _Toc146147226 \h </w:instrText>
            </w:r>
            <w:r w:rsidR="0061780E">
              <w:rPr>
                <w:noProof/>
                <w:webHidden/>
              </w:rPr>
            </w:r>
            <w:r w:rsidR="0061780E">
              <w:rPr>
                <w:noProof/>
                <w:webHidden/>
              </w:rPr>
              <w:fldChar w:fldCharType="separate"/>
            </w:r>
            <w:r w:rsidR="0061780E">
              <w:rPr>
                <w:noProof/>
                <w:webHidden/>
              </w:rPr>
              <w:t>4</w:t>
            </w:r>
            <w:r w:rsidR="0061780E">
              <w:rPr>
                <w:noProof/>
                <w:webHidden/>
              </w:rPr>
              <w:fldChar w:fldCharType="end"/>
            </w:r>
          </w:hyperlink>
        </w:p>
        <w:p w14:paraId="67A931BE" w14:textId="5CE8F7DD" w:rsidR="0061780E" w:rsidRDefault="0076009A">
          <w:pPr>
            <w:pStyle w:val="TOC1"/>
            <w:tabs>
              <w:tab w:val="left" w:pos="440"/>
              <w:tab w:val="right" w:leader="dot" w:pos="9350"/>
            </w:tabs>
            <w:rPr>
              <w:rFonts w:eastAsiaTheme="minorEastAsia"/>
              <w:noProof/>
            </w:rPr>
          </w:pPr>
          <w:hyperlink w:anchor="_Toc146147227" w:history="1">
            <w:r w:rsidR="0061780E" w:rsidRPr="003A25C1">
              <w:rPr>
                <w:rStyle w:val="Hyperlink"/>
                <w:noProof/>
              </w:rPr>
              <w:t>2.</w:t>
            </w:r>
            <w:r w:rsidR="0061780E">
              <w:rPr>
                <w:rFonts w:eastAsiaTheme="minorEastAsia"/>
                <w:noProof/>
              </w:rPr>
              <w:tab/>
            </w:r>
            <w:r w:rsidR="0061780E" w:rsidRPr="003A25C1">
              <w:rPr>
                <w:rStyle w:val="Hyperlink"/>
                <w:noProof/>
              </w:rPr>
              <w:t>Sustainability Overview</w:t>
            </w:r>
            <w:r w:rsidR="0061780E">
              <w:rPr>
                <w:noProof/>
                <w:webHidden/>
              </w:rPr>
              <w:tab/>
            </w:r>
            <w:r w:rsidR="0061780E">
              <w:rPr>
                <w:noProof/>
                <w:webHidden/>
              </w:rPr>
              <w:fldChar w:fldCharType="begin"/>
            </w:r>
            <w:r w:rsidR="0061780E">
              <w:rPr>
                <w:noProof/>
                <w:webHidden/>
              </w:rPr>
              <w:instrText xml:space="preserve"> PAGEREF _Toc146147227 \h </w:instrText>
            </w:r>
            <w:r w:rsidR="0061780E">
              <w:rPr>
                <w:noProof/>
                <w:webHidden/>
              </w:rPr>
            </w:r>
            <w:r w:rsidR="0061780E">
              <w:rPr>
                <w:noProof/>
                <w:webHidden/>
              </w:rPr>
              <w:fldChar w:fldCharType="separate"/>
            </w:r>
            <w:r w:rsidR="0061780E">
              <w:rPr>
                <w:noProof/>
                <w:webHidden/>
              </w:rPr>
              <w:t>4</w:t>
            </w:r>
            <w:r w:rsidR="0061780E">
              <w:rPr>
                <w:noProof/>
                <w:webHidden/>
              </w:rPr>
              <w:fldChar w:fldCharType="end"/>
            </w:r>
          </w:hyperlink>
        </w:p>
        <w:p w14:paraId="60E62DDF" w14:textId="7A372037" w:rsidR="0061780E" w:rsidRDefault="0076009A">
          <w:pPr>
            <w:pStyle w:val="TOC2"/>
            <w:tabs>
              <w:tab w:val="left" w:pos="880"/>
              <w:tab w:val="right" w:leader="dot" w:pos="9350"/>
            </w:tabs>
            <w:rPr>
              <w:rFonts w:eastAsiaTheme="minorEastAsia"/>
              <w:noProof/>
            </w:rPr>
          </w:pPr>
          <w:hyperlink w:anchor="_Toc146147228" w:history="1">
            <w:r w:rsidR="0061780E" w:rsidRPr="003A25C1">
              <w:rPr>
                <w:rStyle w:val="Hyperlink"/>
                <w:noProof/>
              </w:rPr>
              <w:t>2.1.</w:t>
            </w:r>
            <w:r w:rsidR="0061780E">
              <w:rPr>
                <w:rFonts w:eastAsiaTheme="minorEastAsia"/>
                <w:noProof/>
              </w:rPr>
              <w:tab/>
            </w:r>
            <w:r w:rsidR="0061780E" w:rsidRPr="003A25C1">
              <w:rPr>
                <w:rStyle w:val="Hyperlink"/>
                <w:noProof/>
              </w:rPr>
              <w:t>Sustainability Metrics Specific to Hydrogen Projects from Literature</w:t>
            </w:r>
            <w:r w:rsidR="0061780E">
              <w:rPr>
                <w:noProof/>
                <w:webHidden/>
              </w:rPr>
              <w:tab/>
            </w:r>
            <w:r w:rsidR="0061780E">
              <w:rPr>
                <w:noProof/>
                <w:webHidden/>
              </w:rPr>
              <w:fldChar w:fldCharType="begin"/>
            </w:r>
            <w:r w:rsidR="0061780E">
              <w:rPr>
                <w:noProof/>
                <w:webHidden/>
              </w:rPr>
              <w:instrText xml:space="preserve"> PAGEREF _Toc146147228 \h </w:instrText>
            </w:r>
            <w:r w:rsidR="0061780E">
              <w:rPr>
                <w:noProof/>
                <w:webHidden/>
              </w:rPr>
            </w:r>
            <w:r w:rsidR="0061780E">
              <w:rPr>
                <w:noProof/>
                <w:webHidden/>
              </w:rPr>
              <w:fldChar w:fldCharType="separate"/>
            </w:r>
            <w:r w:rsidR="0061780E">
              <w:rPr>
                <w:noProof/>
                <w:webHidden/>
              </w:rPr>
              <w:t>5</w:t>
            </w:r>
            <w:r w:rsidR="0061780E">
              <w:rPr>
                <w:noProof/>
                <w:webHidden/>
              </w:rPr>
              <w:fldChar w:fldCharType="end"/>
            </w:r>
          </w:hyperlink>
        </w:p>
        <w:p w14:paraId="797ABAC5" w14:textId="3F044072" w:rsidR="0061780E" w:rsidRDefault="0076009A">
          <w:pPr>
            <w:pStyle w:val="TOC3"/>
            <w:tabs>
              <w:tab w:val="left" w:pos="1320"/>
              <w:tab w:val="right" w:leader="dot" w:pos="9350"/>
            </w:tabs>
            <w:rPr>
              <w:rFonts w:eastAsiaTheme="minorEastAsia"/>
              <w:noProof/>
            </w:rPr>
          </w:pPr>
          <w:hyperlink w:anchor="_Toc146147229" w:history="1">
            <w:r w:rsidR="0061780E" w:rsidRPr="003A25C1">
              <w:rPr>
                <w:rStyle w:val="Hyperlink"/>
                <w:noProof/>
              </w:rPr>
              <w:t>2.1.1.</w:t>
            </w:r>
            <w:r w:rsidR="0061780E">
              <w:rPr>
                <w:rFonts w:eastAsiaTheme="minorEastAsia"/>
                <w:noProof/>
              </w:rPr>
              <w:tab/>
            </w:r>
            <w:r w:rsidR="0061780E" w:rsidRPr="003A25C1">
              <w:rPr>
                <w:rStyle w:val="Hyperlink"/>
                <w:noProof/>
              </w:rPr>
              <w:t>Overview of Hydrogen Sustainability Studies and Methods</w:t>
            </w:r>
            <w:r w:rsidR="0061780E">
              <w:rPr>
                <w:noProof/>
                <w:webHidden/>
              </w:rPr>
              <w:tab/>
            </w:r>
            <w:r w:rsidR="0061780E">
              <w:rPr>
                <w:noProof/>
                <w:webHidden/>
              </w:rPr>
              <w:fldChar w:fldCharType="begin"/>
            </w:r>
            <w:r w:rsidR="0061780E">
              <w:rPr>
                <w:noProof/>
                <w:webHidden/>
              </w:rPr>
              <w:instrText xml:space="preserve"> PAGEREF _Toc146147229 \h </w:instrText>
            </w:r>
            <w:r w:rsidR="0061780E">
              <w:rPr>
                <w:noProof/>
                <w:webHidden/>
              </w:rPr>
            </w:r>
            <w:r w:rsidR="0061780E">
              <w:rPr>
                <w:noProof/>
                <w:webHidden/>
              </w:rPr>
              <w:fldChar w:fldCharType="separate"/>
            </w:r>
            <w:r w:rsidR="0061780E">
              <w:rPr>
                <w:noProof/>
                <w:webHidden/>
              </w:rPr>
              <w:t>5</w:t>
            </w:r>
            <w:r w:rsidR="0061780E">
              <w:rPr>
                <w:noProof/>
                <w:webHidden/>
              </w:rPr>
              <w:fldChar w:fldCharType="end"/>
            </w:r>
          </w:hyperlink>
        </w:p>
        <w:p w14:paraId="745C13F2" w14:textId="35FF4481" w:rsidR="0061780E" w:rsidRDefault="0076009A">
          <w:pPr>
            <w:pStyle w:val="TOC3"/>
            <w:tabs>
              <w:tab w:val="left" w:pos="1320"/>
              <w:tab w:val="right" w:leader="dot" w:pos="9350"/>
            </w:tabs>
            <w:rPr>
              <w:rFonts w:eastAsiaTheme="minorEastAsia"/>
              <w:noProof/>
            </w:rPr>
          </w:pPr>
          <w:hyperlink w:anchor="_Toc146147230" w:history="1">
            <w:r w:rsidR="0061780E" w:rsidRPr="003A25C1">
              <w:rPr>
                <w:rStyle w:val="Hyperlink"/>
                <w:noProof/>
              </w:rPr>
              <w:t>2.1.2.</w:t>
            </w:r>
            <w:r w:rsidR="0061780E">
              <w:rPr>
                <w:rFonts w:eastAsiaTheme="minorEastAsia"/>
                <w:noProof/>
              </w:rPr>
              <w:tab/>
            </w:r>
            <w:r w:rsidR="0061780E" w:rsidRPr="003A25C1">
              <w:rPr>
                <w:rStyle w:val="Hyperlink"/>
                <w:noProof/>
              </w:rPr>
              <w:t>Common Metrics Found in Literature</w:t>
            </w:r>
            <w:r w:rsidR="0061780E">
              <w:rPr>
                <w:noProof/>
                <w:webHidden/>
              </w:rPr>
              <w:tab/>
            </w:r>
            <w:r w:rsidR="0061780E">
              <w:rPr>
                <w:noProof/>
                <w:webHidden/>
              </w:rPr>
              <w:fldChar w:fldCharType="begin"/>
            </w:r>
            <w:r w:rsidR="0061780E">
              <w:rPr>
                <w:noProof/>
                <w:webHidden/>
              </w:rPr>
              <w:instrText xml:space="preserve"> PAGEREF _Toc146147230 \h </w:instrText>
            </w:r>
            <w:r w:rsidR="0061780E">
              <w:rPr>
                <w:noProof/>
                <w:webHidden/>
              </w:rPr>
            </w:r>
            <w:r w:rsidR="0061780E">
              <w:rPr>
                <w:noProof/>
                <w:webHidden/>
              </w:rPr>
              <w:fldChar w:fldCharType="separate"/>
            </w:r>
            <w:r w:rsidR="0061780E">
              <w:rPr>
                <w:noProof/>
                <w:webHidden/>
              </w:rPr>
              <w:t>8</w:t>
            </w:r>
            <w:r w:rsidR="0061780E">
              <w:rPr>
                <w:noProof/>
                <w:webHidden/>
              </w:rPr>
              <w:fldChar w:fldCharType="end"/>
            </w:r>
          </w:hyperlink>
        </w:p>
        <w:p w14:paraId="0B7618D6" w14:textId="0D97761D" w:rsidR="0061780E" w:rsidRDefault="0076009A">
          <w:pPr>
            <w:pStyle w:val="TOC3"/>
            <w:tabs>
              <w:tab w:val="left" w:pos="1320"/>
              <w:tab w:val="right" w:leader="dot" w:pos="9350"/>
            </w:tabs>
            <w:rPr>
              <w:rFonts w:eastAsiaTheme="minorEastAsia"/>
              <w:noProof/>
            </w:rPr>
          </w:pPr>
          <w:hyperlink w:anchor="_Toc146147231" w:history="1">
            <w:r w:rsidR="0061780E" w:rsidRPr="003A25C1">
              <w:rPr>
                <w:rStyle w:val="Hyperlink"/>
                <w:noProof/>
              </w:rPr>
              <w:t>2.1.3.</w:t>
            </w:r>
            <w:r w:rsidR="0061780E">
              <w:rPr>
                <w:rFonts w:eastAsiaTheme="minorEastAsia"/>
                <w:noProof/>
              </w:rPr>
              <w:tab/>
            </w:r>
            <w:r w:rsidR="0061780E" w:rsidRPr="003A25C1">
              <w:rPr>
                <w:rStyle w:val="Hyperlink"/>
                <w:noProof/>
              </w:rPr>
              <w:t>Sustainability Practice in Industry</w:t>
            </w:r>
            <w:r w:rsidR="0061780E">
              <w:rPr>
                <w:noProof/>
                <w:webHidden/>
              </w:rPr>
              <w:tab/>
            </w:r>
            <w:r w:rsidR="0061780E">
              <w:rPr>
                <w:noProof/>
                <w:webHidden/>
              </w:rPr>
              <w:fldChar w:fldCharType="begin"/>
            </w:r>
            <w:r w:rsidR="0061780E">
              <w:rPr>
                <w:noProof/>
                <w:webHidden/>
              </w:rPr>
              <w:instrText xml:space="preserve"> PAGEREF _Toc146147231 \h </w:instrText>
            </w:r>
            <w:r w:rsidR="0061780E">
              <w:rPr>
                <w:noProof/>
                <w:webHidden/>
              </w:rPr>
            </w:r>
            <w:r w:rsidR="0061780E">
              <w:rPr>
                <w:noProof/>
                <w:webHidden/>
              </w:rPr>
              <w:fldChar w:fldCharType="separate"/>
            </w:r>
            <w:r w:rsidR="0061780E">
              <w:rPr>
                <w:noProof/>
                <w:webHidden/>
              </w:rPr>
              <w:t>8</w:t>
            </w:r>
            <w:r w:rsidR="0061780E">
              <w:rPr>
                <w:noProof/>
                <w:webHidden/>
              </w:rPr>
              <w:fldChar w:fldCharType="end"/>
            </w:r>
          </w:hyperlink>
        </w:p>
        <w:p w14:paraId="4CA38F33" w14:textId="562BA0CB" w:rsidR="0061780E" w:rsidRDefault="0076009A">
          <w:pPr>
            <w:pStyle w:val="TOC2"/>
            <w:tabs>
              <w:tab w:val="left" w:pos="880"/>
              <w:tab w:val="right" w:leader="dot" w:pos="9350"/>
            </w:tabs>
            <w:rPr>
              <w:rFonts w:eastAsiaTheme="minorEastAsia"/>
              <w:noProof/>
            </w:rPr>
          </w:pPr>
          <w:hyperlink w:anchor="_Toc146147232" w:history="1">
            <w:r w:rsidR="0061780E" w:rsidRPr="003A25C1">
              <w:rPr>
                <w:rStyle w:val="Hyperlink"/>
                <w:noProof/>
              </w:rPr>
              <w:t>2.2.</w:t>
            </w:r>
            <w:r w:rsidR="0061780E">
              <w:rPr>
                <w:rFonts w:eastAsiaTheme="minorEastAsia"/>
                <w:noProof/>
              </w:rPr>
              <w:tab/>
            </w:r>
            <w:r w:rsidR="0061780E" w:rsidRPr="003A25C1">
              <w:rPr>
                <w:rStyle w:val="Hyperlink"/>
                <w:noProof/>
              </w:rPr>
              <w:t>Sustainability Organizations and Frameworks</w:t>
            </w:r>
            <w:r w:rsidR="0061780E">
              <w:rPr>
                <w:noProof/>
                <w:webHidden/>
              </w:rPr>
              <w:tab/>
            </w:r>
            <w:r w:rsidR="0061780E">
              <w:rPr>
                <w:noProof/>
                <w:webHidden/>
              </w:rPr>
              <w:fldChar w:fldCharType="begin"/>
            </w:r>
            <w:r w:rsidR="0061780E">
              <w:rPr>
                <w:noProof/>
                <w:webHidden/>
              </w:rPr>
              <w:instrText xml:space="preserve"> PAGEREF _Toc146147232 \h </w:instrText>
            </w:r>
            <w:r w:rsidR="0061780E">
              <w:rPr>
                <w:noProof/>
                <w:webHidden/>
              </w:rPr>
            </w:r>
            <w:r w:rsidR="0061780E">
              <w:rPr>
                <w:noProof/>
                <w:webHidden/>
              </w:rPr>
              <w:fldChar w:fldCharType="separate"/>
            </w:r>
            <w:r w:rsidR="0061780E">
              <w:rPr>
                <w:noProof/>
                <w:webHidden/>
              </w:rPr>
              <w:t>10</w:t>
            </w:r>
            <w:r w:rsidR="0061780E">
              <w:rPr>
                <w:noProof/>
                <w:webHidden/>
              </w:rPr>
              <w:fldChar w:fldCharType="end"/>
            </w:r>
          </w:hyperlink>
        </w:p>
        <w:p w14:paraId="39B97FFA" w14:textId="4C8C5FA2" w:rsidR="0061780E" w:rsidRDefault="0076009A">
          <w:pPr>
            <w:pStyle w:val="TOC3"/>
            <w:tabs>
              <w:tab w:val="left" w:pos="1320"/>
              <w:tab w:val="right" w:leader="dot" w:pos="9350"/>
            </w:tabs>
            <w:rPr>
              <w:rFonts w:eastAsiaTheme="minorEastAsia"/>
              <w:noProof/>
            </w:rPr>
          </w:pPr>
          <w:hyperlink w:anchor="_Toc146147237" w:history="1">
            <w:r w:rsidR="0061780E" w:rsidRPr="003A25C1">
              <w:rPr>
                <w:rStyle w:val="Hyperlink"/>
                <w:noProof/>
              </w:rPr>
              <w:t>2.2.1.</w:t>
            </w:r>
            <w:r w:rsidR="0061780E">
              <w:rPr>
                <w:rFonts w:eastAsiaTheme="minorEastAsia"/>
                <w:noProof/>
              </w:rPr>
              <w:tab/>
            </w:r>
            <w:r w:rsidR="0061780E" w:rsidRPr="003A25C1">
              <w:rPr>
                <w:rStyle w:val="Hyperlink"/>
                <w:noProof/>
              </w:rPr>
              <w:t>Proposed Framework for How to think about Hydrogen Sustainability Metrics</w:t>
            </w:r>
            <w:r w:rsidR="0061780E">
              <w:rPr>
                <w:noProof/>
                <w:webHidden/>
              </w:rPr>
              <w:tab/>
            </w:r>
            <w:r w:rsidR="0061780E">
              <w:rPr>
                <w:noProof/>
                <w:webHidden/>
              </w:rPr>
              <w:fldChar w:fldCharType="begin"/>
            </w:r>
            <w:r w:rsidR="0061780E">
              <w:rPr>
                <w:noProof/>
                <w:webHidden/>
              </w:rPr>
              <w:instrText xml:space="preserve"> PAGEREF _Toc146147237 \h </w:instrText>
            </w:r>
            <w:r w:rsidR="0061780E">
              <w:rPr>
                <w:noProof/>
                <w:webHidden/>
              </w:rPr>
            </w:r>
            <w:r w:rsidR="0061780E">
              <w:rPr>
                <w:noProof/>
                <w:webHidden/>
              </w:rPr>
              <w:fldChar w:fldCharType="separate"/>
            </w:r>
            <w:r w:rsidR="0061780E">
              <w:rPr>
                <w:noProof/>
                <w:webHidden/>
              </w:rPr>
              <w:t>12</w:t>
            </w:r>
            <w:r w:rsidR="0061780E">
              <w:rPr>
                <w:noProof/>
                <w:webHidden/>
              </w:rPr>
              <w:fldChar w:fldCharType="end"/>
            </w:r>
          </w:hyperlink>
        </w:p>
        <w:p w14:paraId="1C6F7B9B" w14:textId="71C33A04" w:rsidR="0061780E" w:rsidRDefault="0076009A">
          <w:pPr>
            <w:pStyle w:val="TOC2"/>
            <w:tabs>
              <w:tab w:val="left" w:pos="880"/>
              <w:tab w:val="right" w:leader="dot" w:pos="9350"/>
            </w:tabs>
            <w:rPr>
              <w:rFonts w:eastAsiaTheme="minorEastAsia"/>
              <w:noProof/>
            </w:rPr>
          </w:pPr>
          <w:hyperlink w:anchor="_Toc146147240" w:history="1">
            <w:r w:rsidR="0061780E" w:rsidRPr="003A25C1">
              <w:rPr>
                <w:rStyle w:val="Hyperlink"/>
                <w:noProof/>
              </w:rPr>
              <w:t>2.3.</w:t>
            </w:r>
            <w:r w:rsidR="0061780E">
              <w:rPr>
                <w:rFonts w:eastAsiaTheme="minorEastAsia"/>
                <w:noProof/>
              </w:rPr>
              <w:tab/>
            </w:r>
            <w:r w:rsidR="0061780E" w:rsidRPr="003A25C1">
              <w:rPr>
                <w:rStyle w:val="Hyperlink"/>
                <w:noProof/>
              </w:rPr>
              <w:t>Sustainability Framework Reviewing Approach</w:t>
            </w:r>
            <w:r w:rsidR="0061780E">
              <w:rPr>
                <w:noProof/>
                <w:webHidden/>
              </w:rPr>
              <w:tab/>
            </w:r>
            <w:r w:rsidR="0061780E">
              <w:rPr>
                <w:noProof/>
                <w:webHidden/>
              </w:rPr>
              <w:fldChar w:fldCharType="begin"/>
            </w:r>
            <w:r w:rsidR="0061780E">
              <w:rPr>
                <w:noProof/>
                <w:webHidden/>
              </w:rPr>
              <w:instrText xml:space="preserve"> PAGEREF _Toc146147240 \h </w:instrText>
            </w:r>
            <w:r w:rsidR="0061780E">
              <w:rPr>
                <w:noProof/>
                <w:webHidden/>
              </w:rPr>
            </w:r>
            <w:r w:rsidR="0061780E">
              <w:rPr>
                <w:noProof/>
                <w:webHidden/>
              </w:rPr>
              <w:fldChar w:fldCharType="separate"/>
            </w:r>
            <w:r w:rsidR="0061780E">
              <w:rPr>
                <w:noProof/>
                <w:webHidden/>
              </w:rPr>
              <w:t>12</w:t>
            </w:r>
            <w:r w:rsidR="0061780E">
              <w:rPr>
                <w:noProof/>
                <w:webHidden/>
              </w:rPr>
              <w:fldChar w:fldCharType="end"/>
            </w:r>
          </w:hyperlink>
        </w:p>
        <w:p w14:paraId="7BE59E5B" w14:textId="33EE8177" w:rsidR="0061780E" w:rsidRDefault="0076009A">
          <w:pPr>
            <w:pStyle w:val="TOC3"/>
            <w:tabs>
              <w:tab w:val="left" w:pos="1320"/>
              <w:tab w:val="right" w:leader="dot" w:pos="9350"/>
            </w:tabs>
            <w:rPr>
              <w:rFonts w:eastAsiaTheme="minorEastAsia"/>
              <w:noProof/>
            </w:rPr>
          </w:pPr>
          <w:hyperlink w:anchor="_Toc146147241" w:history="1">
            <w:r w:rsidR="0061780E" w:rsidRPr="003A25C1">
              <w:rPr>
                <w:rStyle w:val="Hyperlink"/>
                <w:noProof/>
              </w:rPr>
              <w:t>2.3.1.</w:t>
            </w:r>
            <w:r w:rsidR="0061780E">
              <w:rPr>
                <w:rFonts w:eastAsiaTheme="minorEastAsia"/>
                <w:noProof/>
              </w:rPr>
              <w:tab/>
            </w:r>
            <w:r w:rsidR="0061780E" w:rsidRPr="003A25C1">
              <w:rPr>
                <w:rStyle w:val="Hyperlink"/>
                <w:noProof/>
              </w:rPr>
              <w:t>Economic Objectives</w:t>
            </w:r>
            <w:r w:rsidR="0061780E">
              <w:rPr>
                <w:noProof/>
                <w:webHidden/>
              </w:rPr>
              <w:tab/>
            </w:r>
            <w:r w:rsidR="0061780E">
              <w:rPr>
                <w:noProof/>
                <w:webHidden/>
              </w:rPr>
              <w:fldChar w:fldCharType="begin"/>
            </w:r>
            <w:r w:rsidR="0061780E">
              <w:rPr>
                <w:noProof/>
                <w:webHidden/>
              </w:rPr>
              <w:instrText xml:space="preserve"> PAGEREF _Toc146147241 \h </w:instrText>
            </w:r>
            <w:r w:rsidR="0061780E">
              <w:rPr>
                <w:noProof/>
                <w:webHidden/>
              </w:rPr>
            </w:r>
            <w:r w:rsidR="0061780E">
              <w:rPr>
                <w:noProof/>
                <w:webHidden/>
              </w:rPr>
              <w:fldChar w:fldCharType="separate"/>
            </w:r>
            <w:r w:rsidR="0061780E">
              <w:rPr>
                <w:noProof/>
                <w:webHidden/>
              </w:rPr>
              <w:t>13</w:t>
            </w:r>
            <w:r w:rsidR="0061780E">
              <w:rPr>
                <w:noProof/>
                <w:webHidden/>
              </w:rPr>
              <w:fldChar w:fldCharType="end"/>
            </w:r>
          </w:hyperlink>
        </w:p>
        <w:p w14:paraId="32F8F9FA" w14:textId="09C9510A" w:rsidR="0061780E" w:rsidRDefault="0076009A">
          <w:pPr>
            <w:pStyle w:val="TOC3"/>
            <w:tabs>
              <w:tab w:val="left" w:pos="1320"/>
              <w:tab w:val="right" w:leader="dot" w:pos="9350"/>
            </w:tabs>
            <w:rPr>
              <w:rFonts w:eastAsiaTheme="minorEastAsia"/>
              <w:noProof/>
            </w:rPr>
          </w:pPr>
          <w:hyperlink w:anchor="_Toc146147242" w:history="1">
            <w:r w:rsidR="0061780E" w:rsidRPr="003A25C1">
              <w:rPr>
                <w:rStyle w:val="Hyperlink"/>
                <w:noProof/>
              </w:rPr>
              <w:t>2.3.2.</w:t>
            </w:r>
            <w:r w:rsidR="0061780E">
              <w:rPr>
                <w:rFonts w:eastAsiaTheme="minorEastAsia"/>
                <w:noProof/>
              </w:rPr>
              <w:tab/>
            </w:r>
            <w:r w:rsidR="0061780E" w:rsidRPr="003A25C1">
              <w:rPr>
                <w:rStyle w:val="Hyperlink"/>
                <w:noProof/>
              </w:rPr>
              <w:t>Environmental Objectives</w:t>
            </w:r>
            <w:r w:rsidR="0061780E">
              <w:rPr>
                <w:noProof/>
                <w:webHidden/>
              </w:rPr>
              <w:tab/>
            </w:r>
            <w:r w:rsidR="0061780E">
              <w:rPr>
                <w:noProof/>
                <w:webHidden/>
              </w:rPr>
              <w:fldChar w:fldCharType="begin"/>
            </w:r>
            <w:r w:rsidR="0061780E">
              <w:rPr>
                <w:noProof/>
                <w:webHidden/>
              </w:rPr>
              <w:instrText xml:space="preserve"> PAGEREF _Toc146147242 \h </w:instrText>
            </w:r>
            <w:r w:rsidR="0061780E">
              <w:rPr>
                <w:noProof/>
                <w:webHidden/>
              </w:rPr>
            </w:r>
            <w:r w:rsidR="0061780E">
              <w:rPr>
                <w:noProof/>
                <w:webHidden/>
              </w:rPr>
              <w:fldChar w:fldCharType="separate"/>
            </w:r>
            <w:r w:rsidR="0061780E">
              <w:rPr>
                <w:noProof/>
                <w:webHidden/>
              </w:rPr>
              <w:t>13</w:t>
            </w:r>
            <w:r w:rsidR="0061780E">
              <w:rPr>
                <w:noProof/>
                <w:webHidden/>
              </w:rPr>
              <w:fldChar w:fldCharType="end"/>
            </w:r>
          </w:hyperlink>
        </w:p>
        <w:p w14:paraId="149ABB79" w14:textId="55BB19F6" w:rsidR="0061780E" w:rsidRDefault="0076009A">
          <w:pPr>
            <w:pStyle w:val="TOC3"/>
            <w:tabs>
              <w:tab w:val="left" w:pos="1320"/>
              <w:tab w:val="right" w:leader="dot" w:pos="9350"/>
            </w:tabs>
            <w:rPr>
              <w:rFonts w:eastAsiaTheme="minorEastAsia"/>
              <w:noProof/>
            </w:rPr>
          </w:pPr>
          <w:hyperlink w:anchor="_Toc146147243" w:history="1">
            <w:r w:rsidR="0061780E" w:rsidRPr="003A25C1">
              <w:rPr>
                <w:rStyle w:val="Hyperlink"/>
                <w:noProof/>
              </w:rPr>
              <w:t>2.3.3.</w:t>
            </w:r>
            <w:r w:rsidR="0061780E">
              <w:rPr>
                <w:rFonts w:eastAsiaTheme="minorEastAsia"/>
                <w:noProof/>
              </w:rPr>
              <w:tab/>
            </w:r>
            <w:r w:rsidR="0061780E" w:rsidRPr="003A25C1">
              <w:rPr>
                <w:rStyle w:val="Hyperlink"/>
                <w:noProof/>
              </w:rPr>
              <w:t>Technical Objectives</w:t>
            </w:r>
            <w:r w:rsidR="0061780E">
              <w:rPr>
                <w:noProof/>
                <w:webHidden/>
              </w:rPr>
              <w:tab/>
            </w:r>
            <w:r w:rsidR="0061780E">
              <w:rPr>
                <w:noProof/>
                <w:webHidden/>
              </w:rPr>
              <w:fldChar w:fldCharType="begin"/>
            </w:r>
            <w:r w:rsidR="0061780E">
              <w:rPr>
                <w:noProof/>
                <w:webHidden/>
              </w:rPr>
              <w:instrText xml:space="preserve"> PAGEREF _Toc146147243 \h </w:instrText>
            </w:r>
            <w:r w:rsidR="0061780E">
              <w:rPr>
                <w:noProof/>
                <w:webHidden/>
              </w:rPr>
            </w:r>
            <w:r w:rsidR="0061780E">
              <w:rPr>
                <w:noProof/>
                <w:webHidden/>
              </w:rPr>
              <w:fldChar w:fldCharType="separate"/>
            </w:r>
            <w:r w:rsidR="0061780E">
              <w:rPr>
                <w:noProof/>
                <w:webHidden/>
              </w:rPr>
              <w:t>14</w:t>
            </w:r>
            <w:r w:rsidR="0061780E">
              <w:rPr>
                <w:noProof/>
                <w:webHidden/>
              </w:rPr>
              <w:fldChar w:fldCharType="end"/>
            </w:r>
          </w:hyperlink>
        </w:p>
        <w:p w14:paraId="0F16C7A8" w14:textId="36724DFC" w:rsidR="0061780E" w:rsidRDefault="0076009A">
          <w:pPr>
            <w:pStyle w:val="TOC3"/>
            <w:tabs>
              <w:tab w:val="left" w:pos="1320"/>
              <w:tab w:val="right" w:leader="dot" w:pos="9350"/>
            </w:tabs>
            <w:rPr>
              <w:rFonts w:eastAsiaTheme="minorEastAsia"/>
              <w:noProof/>
            </w:rPr>
          </w:pPr>
          <w:hyperlink w:anchor="_Toc146147244" w:history="1">
            <w:r w:rsidR="0061780E" w:rsidRPr="003A25C1">
              <w:rPr>
                <w:rStyle w:val="Hyperlink"/>
                <w:noProof/>
              </w:rPr>
              <w:t>2.3.4.</w:t>
            </w:r>
            <w:r w:rsidR="0061780E">
              <w:rPr>
                <w:rFonts w:eastAsiaTheme="minorEastAsia"/>
                <w:noProof/>
              </w:rPr>
              <w:tab/>
            </w:r>
            <w:r w:rsidR="0061780E" w:rsidRPr="003A25C1">
              <w:rPr>
                <w:rStyle w:val="Hyperlink"/>
                <w:noProof/>
              </w:rPr>
              <w:t>Social Objectives</w:t>
            </w:r>
            <w:r w:rsidR="0061780E">
              <w:rPr>
                <w:noProof/>
                <w:webHidden/>
              </w:rPr>
              <w:tab/>
            </w:r>
            <w:r w:rsidR="0061780E">
              <w:rPr>
                <w:noProof/>
                <w:webHidden/>
              </w:rPr>
              <w:fldChar w:fldCharType="begin"/>
            </w:r>
            <w:r w:rsidR="0061780E">
              <w:rPr>
                <w:noProof/>
                <w:webHidden/>
              </w:rPr>
              <w:instrText xml:space="preserve"> PAGEREF _Toc146147244 \h </w:instrText>
            </w:r>
            <w:r w:rsidR="0061780E">
              <w:rPr>
                <w:noProof/>
                <w:webHidden/>
              </w:rPr>
            </w:r>
            <w:r w:rsidR="0061780E">
              <w:rPr>
                <w:noProof/>
                <w:webHidden/>
              </w:rPr>
              <w:fldChar w:fldCharType="separate"/>
            </w:r>
            <w:r w:rsidR="0061780E">
              <w:rPr>
                <w:noProof/>
                <w:webHidden/>
              </w:rPr>
              <w:t>15</w:t>
            </w:r>
            <w:r w:rsidR="0061780E">
              <w:rPr>
                <w:noProof/>
                <w:webHidden/>
              </w:rPr>
              <w:fldChar w:fldCharType="end"/>
            </w:r>
          </w:hyperlink>
        </w:p>
        <w:p w14:paraId="77F6426F" w14:textId="307640F2" w:rsidR="0061780E" w:rsidRDefault="0076009A">
          <w:pPr>
            <w:pStyle w:val="TOC2"/>
            <w:tabs>
              <w:tab w:val="left" w:pos="880"/>
              <w:tab w:val="right" w:leader="dot" w:pos="9350"/>
            </w:tabs>
            <w:rPr>
              <w:rFonts w:eastAsiaTheme="minorEastAsia"/>
              <w:noProof/>
            </w:rPr>
          </w:pPr>
          <w:hyperlink w:anchor="_Toc146147246" w:history="1">
            <w:r w:rsidR="0061780E" w:rsidRPr="003A25C1">
              <w:rPr>
                <w:rStyle w:val="Hyperlink"/>
                <w:noProof/>
              </w:rPr>
              <w:t>2.4.</w:t>
            </w:r>
            <w:r w:rsidR="0061780E">
              <w:rPr>
                <w:rFonts w:eastAsiaTheme="minorEastAsia"/>
                <w:noProof/>
              </w:rPr>
              <w:tab/>
            </w:r>
            <w:r w:rsidR="0061780E" w:rsidRPr="003A25C1">
              <w:rPr>
                <w:rStyle w:val="Hyperlink"/>
                <w:noProof/>
              </w:rPr>
              <w:t>Proposed Sustainability Metrics and Methods for Hydrogen Framework</w:t>
            </w:r>
            <w:r w:rsidR="0061780E">
              <w:rPr>
                <w:noProof/>
                <w:webHidden/>
              </w:rPr>
              <w:tab/>
            </w:r>
            <w:r w:rsidR="0061780E">
              <w:rPr>
                <w:noProof/>
                <w:webHidden/>
              </w:rPr>
              <w:fldChar w:fldCharType="begin"/>
            </w:r>
            <w:r w:rsidR="0061780E">
              <w:rPr>
                <w:noProof/>
                <w:webHidden/>
              </w:rPr>
              <w:instrText xml:space="preserve"> PAGEREF _Toc146147246 \h </w:instrText>
            </w:r>
            <w:r w:rsidR="0061780E">
              <w:rPr>
                <w:noProof/>
                <w:webHidden/>
              </w:rPr>
            </w:r>
            <w:r w:rsidR="0061780E">
              <w:rPr>
                <w:noProof/>
                <w:webHidden/>
              </w:rPr>
              <w:fldChar w:fldCharType="separate"/>
            </w:r>
            <w:r w:rsidR="0061780E">
              <w:rPr>
                <w:noProof/>
                <w:webHidden/>
              </w:rPr>
              <w:t>16</w:t>
            </w:r>
            <w:r w:rsidR="0061780E">
              <w:rPr>
                <w:noProof/>
                <w:webHidden/>
              </w:rPr>
              <w:fldChar w:fldCharType="end"/>
            </w:r>
          </w:hyperlink>
        </w:p>
        <w:p w14:paraId="3D5F8453" w14:textId="03140013" w:rsidR="0061780E" w:rsidRDefault="0076009A">
          <w:pPr>
            <w:pStyle w:val="TOC1"/>
            <w:tabs>
              <w:tab w:val="left" w:pos="440"/>
              <w:tab w:val="right" w:leader="dot" w:pos="9350"/>
            </w:tabs>
            <w:rPr>
              <w:rFonts w:eastAsiaTheme="minorEastAsia"/>
              <w:noProof/>
            </w:rPr>
          </w:pPr>
          <w:hyperlink w:anchor="_Toc146147250" w:history="1">
            <w:r w:rsidR="0061780E" w:rsidRPr="003A25C1">
              <w:rPr>
                <w:rStyle w:val="Hyperlink"/>
                <w:noProof/>
              </w:rPr>
              <w:t>3.</w:t>
            </w:r>
            <w:r w:rsidR="0061780E">
              <w:rPr>
                <w:rFonts w:eastAsiaTheme="minorEastAsia"/>
                <w:noProof/>
              </w:rPr>
              <w:tab/>
            </w:r>
            <w:r w:rsidR="0061780E" w:rsidRPr="003A25C1">
              <w:rPr>
                <w:rStyle w:val="Hyperlink"/>
                <w:noProof/>
              </w:rPr>
              <w:t>Conclusion</w:t>
            </w:r>
            <w:r w:rsidR="0061780E">
              <w:rPr>
                <w:noProof/>
                <w:webHidden/>
              </w:rPr>
              <w:tab/>
            </w:r>
            <w:r w:rsidR="0061780E">
              <w:rPr>
                <w:noProof/>
                <w:webHidden/>
              </w:rPr>
              <w:fldChar w:fldCharType="begin"/>
            </w:r>
            <w:r w:rsidR="0061780E">
              <w:rPr>
                <w:noProof/>
                <w:webHidden/>
              </w:rPr>
              <w:instrText xml:space="preserve"> PAGEREF _Toc146147250 \h </w:instrText>
            </w:r>
            <w:r w:rsidR="0061780E">
              <w:rPr>
                <w:noProof/>
                <w:webHidden/>
              </w:rPr>
            </w:r>
            <w:r w:rsidR="0061780E">
              <w:rPr>
                <w:noProof/>
                <w:webHidden/>
              </w:rPr>
              <w:fldChar w:fldCharType="separate"/>
            </w:r>
            <w:r w:rsidR="0061780E">
              <w:rPr>
                <w:noProof/>
                <w:webHidden/>
              </w:rPr>
              <w:t>19</w:t>
            </w:r>
            <w:r w:rsidR="0061780E">
              <w:rPr>
                <w:noProof/>
                <w:webHidden/>
              </w:rPr>
              <w:fldChar w:fldCharType="end"/>
            </w:r>
          </w:hyperlink>
        </w:p>
        <w:p w14:paraId="1464427D" w14:textId="5858745A" w:rsidR="0061780E" w:rsidRDefault="0076009A">
          <w:pPr>
            <w:pStyle w:val="TOC2"/>
            <w:tabs>
              <w:tab w:val="left" w:pos="880"/>
              <w:tab w:val="right" w:leader="dot" w:pos="9350"/>
            </w:tabs>
            <w:rPr>
              <w:rFonts w:eastAsiaTheme="minorEastAsia"/>
              <w:noProof/>
            </w:rPr>
          </w:pPr>
          <w:hyperlink w:anchor="_Toc146147251" w:history="1">
            <w:r w:rsidR="0061780E" w:rsidRPr="003A25C1">
              <w:rPr>
                <w:rStyle w:val="Hyperlink"/>
                <w:noProof/>
              </w:rPr>
              <w:t>3.1.</w:t>
            </w:r>
            <w:r w:rsidR="0061780E">
              <w:rPr>
                <w:rFonts w:eastAsiaTheme="minorEastAsia"/>
                <w:noProof/>
              </w:rPr>
              <w:tab/>
            </w:r>
            <w:r w:rsidR="0061780E" w:rsidRPr="003A25C1">
              <w:rPr>
                <w:rStyle w:val="Hyperlink"/>
                <w:noProof/>
              </w:rPr>
              <w:t>Organizations</w:t>
            </w:r>
            <w:r w:rsidR="0061780E">
              <w:rPr>
                <w:noProof/>
                <w:webHidden/>
              </w:rPr>
              <w:tab/>
            </w:r>
            <w:r w:rsidR="0061780E">
              <w:rPr>
                <w:noProof/>
                <w:webHidden/>
              </w:rPr>
              <w:fldChar w:fldCharType="begin"/>
            </w:r>
            <w:r w:rsidR="0061780E">
              <w:rPr>
                <w:noProof/>
                <w:webHidden/>
              </w:rPr>
              <w:instrText xml:space="preserve"> PAGEREF _Toc146147251 \h </w:instrText>
            </w:r>
            <w:r w:rsidR="0061780E">
              <w:rPr>
                <w:noProof/>
                <w:webHidden/>
              </w:rPr>
            </w:r>
            <w:r w:rsidR="0061780E">
              <w:rPr>
                <w:noProof/>
                <w:webHidden/>
              </w:rPr>
              <w:fldChar w:fldCharType="separate"/>
            </w:r>
            <w:r w:rsidR="0061780E">
              <w:rPr>
                <w:noProof/>
                <w:webHidden/>
              </w:rPr>
              <w:t>19</w:t>
            </w:r>
            <w:r w:rsidR="0061780E">
              <w:rPr>
                <w:noProof/>
                <w:webHidden/>
              </w:rPr>
              <w:fldChar w:fldCharType="end"/>
            </w:r>
          </w:hyperlink>
        </w:p>
        <w:p w14:paraId="6557832F" w14:textId="3094A634" w:rsidR="0061780E" w:rsidRDefault="0076009A">
          <w:pPr>
            <w:pStyle w:val="TOC1"/>
            <w:tabs>
              <w:tab w:val="left" w:pos="440"/>
              <w:tab w:val="right" w:leader="dot" w:pos="9350"/>
            </w:tabs>
            <w:rPr>
              <w:rFonts w:eastAsiaTheme="minorEastAsia"/>
              <w:noProof/>
            </w:rPr>
          </w:pPr>
          <w:hyperlink w:anchor="_Toc146147252" w:history="1">
            <w:r w:rsidR="0061780E" w:rsidRPr="003A25C1">
              <w:rPr>
                <w:rStyle w:val="Hyperlink"/>
                <w:noProof/>
              </w:rPr>
              <w:t>4.</w:t>
            </w:r>
            <w:r w:rsidR="0061780E">
              <w:rPr>
                <w:rFonts w:eastAsiaTheme="minorEastAsia"/>
                <w:noProof/>
              </w:rPr>
              <w:tab/>
            </w:r>
            <w:r w:rsidR="0061780E" w:rsidRPr="003A25C1">
              <w:rPr>
                <w:rStyle w:val="Hyperlink"/>
                <w:noProof/>
              </w:rPr>
              <w:t>Appendix</w:t>
            </w:r>
            <w:r w:rsidR="0061780E">
              <w:rPr>
                <w:noProof/>
                <w:webHidden/>
              </w:rPr>
              <w:tab/>
            </w:r>
            <w:r w:rsidR="0061780E">
              <w:rPr>
                <w:noProof/>
                <w:webHidden/>
              </w:rPr>
              <w:fldChar w:fldCharType="begin"/>
            </w:r>
            <w:r w:rsidR="0061780E">
              <w:rPr>
                <w:noProof/>
                <w:webHidden/>
              </w:rPr>
              <w:instrText xml:space="preserve"> PAGEREF _Toc146147252 \h </w:instrText>
            </w:r>
            <w:r w:rsidR="0061780E">
              <w:rPr>
                <w:noProof/>
                <w:webHidden/>
              </w:rPr>
            </w:r>
            <w:r w:rsidR="0061780E">
              <w:rPr>
                <w:noProof/>
                <w:webHidden/>
              </w:rPr>
              <w:fldChar w:fldCharType="separate"/>
            </w:r>
            <w:r w:rsidR="0061780E">
              <w:rPr>
                <w:noProof/>
                <w:webHidden/>
              </w:rPr>
              <w:t>20</w:t>
            </w:r>
            <w:r w:rsidR="0061780E">
              <w:rPr>
                <w:noProof/>
                <w:webHidden/>
              </w:rPr>
              <w:fldChar w:fldCharType="end"/>
            </w:r>
          </w:hyperlink>
        </w:p>
        <w:p w14:paraId="695090BE" w14:textId="22BB7566" w:rsidR="0061780E" w:rsidRDefault="0076009A">
          <w:pPr>
            <w:pStyle w:val="TOC2"/>
            <w:tabs>
              <w:tab w:val="left" w:pos="880"/>
              <w:tab w:val="right" w:leader="dot" w:pos="9350"/>
            </w:tabs>
            <w:rPr>
              <w:rFonts w:eastAsiaTheme="minorEastAsia"/>
              <w:noProof/>
            </w:rPr>
          </w:pPr>
          <w:hyperlink w:anchor="_Toc146147253" w:history="1">
            <w:r w:rsidR="0061780E" w:rsidRPr="003A25C1">
              <w:rPr>
                <w:rStyle w:val="Hyperlink"/>
                <w:noProof/>
              </w:rPr>
              <w:t>4.1.</w:t>
            </w:r>
            <w:r w:rsidR="0061780E">
              <w:rPr>
                <w:rFonts w:eastAsiaTheme="minorEastAsia"/>
                <w:noProof/>
              </w:rPr>
              <w:tab/>
            </w:r>
            <w:r w:rsidR="0061780E" w:rsidRPr="003A25C1">
              <w:rPr>
                <w:rStyle w:val="Hyperlink"/>
                <w:noProof/>
              </w:rPr>
              <w:t>Economic Metrics</w:t>
            </w:r>
            <w:r w:rsidR="0061780E">
              <w:rPr>
                <w:noProof/>
                <w:webHidden/>
              </w:rPr>
              <w:tab/>
            </w:r>
            <w:r w:rsidR="0061780E">
              <w:rPr>
                <w:noProof/>
                <w:webHidden/>
              </w:rPr>
              <w:fldChar w:fldCharType="begin"/>
            </w:r>
            <w:r w:rsidR="0061780E">
              <w:rPr>
                <w:noProof/>
                <w:webHidden/>
              </w:rPr>
              <w:instrText xml:space="preserve"> PAGEREF _Toc146147253 \h </w:instrText>
            </w:r>
            <w:r w:rsidR="0061780E">
              <w:rPr>
                <w:noProof/>
                <w:webHidden/>
              </w:rPr>
            </w:r>
            <w:r w:rsidR="0061780E">
              <w:rPr>
                <w:noProof/>
                <w:webHidden/>
              </w:rPr>
              <w:fldChar w:fldCharType="separate"/>
            </w:r>
            <w:r w:rsidR="0061780E">
              <w:rPr>
                <w:noProof/>
                <w:webHidden/>
              </w:rPr>
              <w:t>20</w:t>
            </w:r>
            <w:r w:rsidR="0061780E">
              <w:rPr>
                <w:noProof/>
                <w:webHidden/>
              </w:rPr>
              <w:fldChar w:fldCharType="end"/>
            </w:r>
          </w:hyperlink>
        </w:p>
        <w:p w14:paraId="52CDADBA" w14:textId="71A14F1F" w:rsidR="0061780E" w:rsidRDefault="0076009A">
          <w:pPr>
            <w:pStyle w:val="TOC3"/>
            <w:tabs>
              <w:tab w:val="left" w:pos="1320"/>
              <w:tab w:val="right" w:leader="dot" w:pos="9350"/>
            </w:tabs>
            <w:rPr>
              <w:rFonts w:eastAsiaTheme="minorEastAsia"/>
              <w:noProof/>
            </w:rPr>
          </w:pPr>
          <w:hyperlink w:anchor="_Toc146147254" w:history="1">
            <w:r w:rsidR="0061780E" w:rsidRPr="003A25C1">
              <w:rPr>
                <w:rStyle w:val="Hyperlink"/>
                <w:noProof/>
              </w:rPr>
              <w:t>4.1.1.</w:t>
            </w:r>
            <w:r w:rsidR="0061780E">
              <w:rPr>
                <w:rFonts w:eastAsiaTheme="minorEastAsia"/>
                <w:noProof/>
              </w:rPr>
              <w:tab/>
            </w:r>
            <w:r w:rsidR="0061780E" w:rsidRPr="003A25C1">
              <w:rPr>
                <w:rStyle w:val="Hyperlink"/>
                <w:noProof/>
              </w:rPr>
              <w:t>Financial performance</w:t>
            </w:r>
            <w:r w:rsidR="0061780E">
              <w:rPr>
                <w:noProof/>
                <w:webHidden/>
              </w:rPr>
              <w:tab/>
            </w:r>
            <w:r w:rsidR="0061780E">
              <w:rPr>
                <w:noProof/>
                <w:webHidden/>
              </w:rPr>
              <w:fldChar w:fldCharType="begin"/>
            </w:r>
            <w:r w:rsidR="0061780E">
              <w:rPr>
                <w:noProof/>
                <w:webHidden/>
              </w:rPr>
              <w:instrText xml:space="preserve"> PAGEREF _Toc146147254 \h </w:instrText>
            </w:r>
            <w:r w:rsidR="0061780E">
              <w:rPr>
                <w:noProof/>
                <w:webHidden/>
              </w:rPr>
            </w:r>
            <w:r w:rsidR="0061780E">
              <w:rPr>
                <w:noProof/>
                <w:webHidden/>
              </w:rPr>
              <w:fldChar w:fldCharType="separate"/>
            </w:r>
            <w:r w:rsidR="0061780E">
              <w:rPr>
                <w:noProof/>
                <w:webHidden/>
              </w:rPr>
              <w:t>20</w:t>
            </w:r>
            <w:r w:rsidR="0061780E">
              <w:rPr>
                <w:noProof/>
                <w:webHidden/>
              </w:rPr>
              <w:fldChar w:fldCharType="end"/>
            </w:r>
          </w:hyperlink>
        </w:p>
        <w:p w14:paraId="378E9735" w14:textId="22247458" w:rsidR="0061780E" w:rsidRDefault="0076009A">
          <w:pPr>
            <w:pStyle w:val="TOC3"/>
            <w:tabs>
              <w:tab w:val="left" w:pos="1320"/>
              <w:tab w:val="right" w:leader="dot" w:pos="9350"/>
            </w:tabs>
            <w:rPr>
              <w:rFonts w:eastAsiaTheme="minorEastAsia"/>
              <w:noProof/>
            </w:rPr>
          </w:pPr>
          <w:hyperlink w:anchor="_Toc146147255" w:history="1">
            <w:r w:rsidR="0061780E" w:rsidRPr="003A25C1">
              <w:rPr>
                <w:rStyle w:val="Hyperlink"/>
                <w:noProof/>
              </w:rPr>
              <w:t>4.1.2.</w:t>
            </w:r>
            <w:r w:rsidR="0061780E">
              <w:rPr>
                <w:rFonts w:eastAsiaTheme="minorEastAsia"/>
                <w:noProof/>
              </w:rPr>
              <w:tab/>
            </w:r>
            <w:r w:rsidR="0061780E" w:rsidRPr="003A25C1">
              <w:rPr>
                <w:rStyle w:val="Hyperlink"/>
                <w:noProof/>
              </w:rPr>
              <w:t>Market &amp; Industry</w:t>
            </w:r>
            <w:r w:rsidR="0061780E">
              <w:rPr>
                <w:noProof/>
                <w:webHidden/>
              </w:rPr>
              <w:tab/>
            </w:r>
            <w:r w:rsidR="0061780E">
              <w:rPr>
                <w:noProof/>
                <w:webHidden/>
              </w:rPr>
              <w:fldChar w:fldCharType="begin"/>
            </w:r>
            <w:r w:rsidR="0061780E">
              <w:rPr>
                <w:noProof/>
                <w:webHidden/>
              </w:rPr>
              <w:instrText xml:space="preserve"> PAGEREF _Toc146147255 \h </w:instrText>
            </w:r>
            <w:r w:rsidR="0061780E">
              <w:rPr>
                <w:noProof/>
                <w:webHidden/>
              </w:rPr>
            </w:r>
            <w:r w:rsidR="0061780E">
              <w:rPr>
                <w:noProof/>
                <w:webHidden/>
              </w:rPr>
              <w:fldChar w:fldCharType="separate"/>
            </w:r>
            <w:r w:rsidR="0061780E">
              <w:rPr>
                <w:noProof/>
                <w:webHidden/>
              </w:rPr>
              <w:t>22</w:t>
            </w:r>
            <w:r w:rsidR="0061780E">
              <w:rPr>
                <w:noProof/>
                <w:webHidden/>
              </w:rPr>
              <w:fldChar w:fldCharType="end"/>
            </w:r>
          </w:hyperlink>
        </w:p>
        <w:p w14:paraId="744B8F89" w14:textId="4755B6DD" w:rsidR="0061780E" w:rsidRDefault="0076009A">
          <w:pPr>
            <w:pStyle w:val="TOC3"/>
            <w:tabs>
              <w:tab w:val="left" w:pos="1320"/>
              <w:tab w:val="right" w:leader="dot" w:pos="9350"/>
            </w:tabs>
            <w:rPr>
              <w:rFonts w:eastAsiaTheme="minorEastAsia"/>
              <w:noProof/>
            </w:rPr>
          </w:pPr>
          <w:hyperlink w:anchor="_Toc146147256" w:history="1">
            <w:r w:rsidR="0061780E" w:rsidRPr="003A25C1">
              <w:rPr>
                <w:rStyle w:val="Hyperlink"/>
                <w:noProof/>
              </w:rPr>
              <w:t>4.1.3.</w:t>
            </w:r>
            <w:r w:rsidR="0061780E">
              <w:rPr>
                <w:rFonts w:eastAsiaTheme="minorEastAsia"/>
                <w:noProof/>
              </w:rPr>
              <w:tab/>
            </w:r>
            <w:r w:rsidR="0061780E" w:rsidRPr="003A25C1">
              <w:rPr>
                <w:rStyle w:val="Hyperlink"/>
                <w:noProof/>
              </w:rPr>
              <w:t>Resource Efficiency</w:t>
            </w:r>
            <w:r w:rsidR="0061780E">
              <w:rPr>
                <w:noProof/>
                <w:webHidden/>
              </w:rPr>
              <w:tab/>
            </w:r>
            <w:r w:rsidR="0061780E">
              <w:rPr>
                <w:noProof/>
                <w:webHidden/>
              </w:rPr>
              <w:fldChar w:fldCharType="begin"/>
            </w:r>
            <w:r w:rsidR="0061780E">
              <w:rPr>
                <w:noProof/>
                <w:webHidden/>
              </w:rPr>
              <w:instrText xml:space="preserve"> PAGEREF _Toc146147256 \h </w:instrText>
            </w:r>
            <w:r w:rsidR="0061780E">
              <w:rPr>
                <w:noProof/>
                <w:webHidden/>
              </w:rPr>
            </w:r>
            <w:r w:rsidR="0061780E">
              <w:rPr>
                <w:noProof/>
                <w:webHidden/>
              </w:rPr>
              <w:fldChar w:fldCharType="separate"/>
            </w:r>
            <w:r w:rsidR="0061780E">
              <w:rPr>
                <w:noProof/>
                <w:webHidden/>
              </w:rPr>
              <w:t>22</w:t>
            </w:r>
            <w:r w:rsidR="0061780E">
              <w:rPr>
                <w:noProof/>
                <w:webHidden/>
              </w:rPr>
              <w:fldChar w:fldCharType="end"/>
            </w:r>
          </w:hyperlink>
        </w:p>
        <w:p w14:paraId="11CE7F52" w14:textId="2E11DC4C" w:rsidR="0061780E" w:rsidRDefault="0076009A">
          <w:pPr>
            <w:pStyle w:val="TOC3"/>
            <w:tabs>
              <w:tab w:val="left" w:pos="1320"/>
              <w:tab w:val="right" w:leader="dot" w:pos="9350"/>
            </w:tabs>
            <w:rPr>
              <w:rFonts w:eastAsiaTheme="minorEastAsia"/>
              <w:noProof/>
            </w:rPr>
          </w:pPr>
          <w:hyperlink w:anchor="_Toc146147257" w:history="1">
            <w:r w:rsidR="0061780E" w:rsidRPr="003A25C1">
              <w:rPr>
                <w:rStyle w:val="Hyperlink"/>
                <w:noProof/>
              </w:rPr>
              <w:t>4.1.4.</w:t>
            </w:r>
            <w:r w:rsidR="0061780E">
              <w:rPr>
                <w:rFonts w:eastAsiaTheme="minorEastAsia"/>
                <w:noProof/>
              </w:rPr>
              <w:tab/>
            </w:r>
            <w:r w:rsidR="0061780E" w:rsidRPr="003A25C1">
              <w:rPr>
                <w:rStyle w:val="Hyperlink"/>
                <w:noProof/>
              </w:rPr>
              <w:t>Risk and Security</w:t>
            </w:r>
            <w:r w:rsidR="0061780E">
              <w:rPr>
                <w:noProof/>
                <w:webHidden/>
              </w:rPr>
              <w:tab/>
            </w:r>
            <w:r w:rsidR="0061780E">
              <w:rPr>
                <w:noProof/>
                <w:webHidden/>
              </w:rPr>
              <w:fldChar w:fldCharType="begin"/>
            </w:r>
            <w:r w:rsidR="0061780E">
              <w:rPr>
                <w:noProof/>
                <w:webHidden/>
              </w:rPr>
              <w:instrText xml:space="preserve"> PAGEREF _Toc146147257 \h </w:instrText>
            </w:r>
            <w:r w:rsidR="0061780E">
              <w:rPr>
                <w:noProof/>
                <w:webHidden/>
              </w:rPr>
            </w:r>
            <w:r w:rsidR="0061780E">
              <w:rPr>
                <w:noProof/>
                <w:webHidden/>
              </w:rPr>
              <w:fldChar w:fldCharType="separate"/>
            </w:r>
            <w:r w:rsidR="0061780E">
              <w:rPr>
                <w:noProof/>
                <w:webHidden/>
              </w:rPr>
              <w:t>23</w:t>
            </w:r>
            <w:r w:rsidR="0061780E">
              <w:rPr>
                <w:noProof/>
                <w:webHidden/>
              </w:rPr>
              <w:fldChar w:fldCharType="end"/>
            </w:r>
          </w:hyperlink>
        </w:p>
        <w:p w14:paraId="39F72CB4" w14:textId="47BD73BE" w:rsidR="0061780E" w:rsidRDefault="0076009A">
          <w:pPr>
            <w:pStyle w:val="TOC3"/>
            <w:tabs>
              <w:tab w:val="left" w:pos="1320"/>
              <w:tab w:val="right" w:leader="dot" w:pos="9350"/>
            </w:tabs>
            <w:rPr>
              <w:rFonts w:eastAsiaTheme="minorEastAsia"/>
              <w:noProof/>
            </w:rPr>
          </w:pPr>
          <w:hyperlink w:anchor="_Toc146147258" w:history="1">
            <w:r w:rsidR="0061780E" w:rsidRPr="003A25C1">
              <w:rPr>
                <w:rStyle w:val="Hyperlink"/>
                <w:noProof/>
              </w:rPr>
              <w:t>4.1.5.</w:t>
            </w:r>
            <w:r w:rsidR="0061780E">
              <w:rPr>
                <w:rFonts w:eastAsiaTheme="minorEastAsia"/>
                <w:noProof/>
              </w:rPr>
              <w:tab/>
            </w:r>
            <w:r w:rsidR="0061780E" w:rsidRPr="003A25C1">
              <w:rPr>
                <w:rStyle w:val="Hyperlink"/>
                <w:noProof/>
              </w:rPr>
              <w:t>Regulatory compliance</w:t>
            </w:r>
            <w:r w:rsidR="0061780E">
              <w:rPr>
                <w:noProof/>
                <w:webHidden/>
              </w:rPr>
              <w:tab/>
            </w:r>
            <w:r w:rsidR="0061780E">
              <w:rPr>
                <w:noProof/>
                <w:webHidden/>
              </w:rPr>
              <w:fldChar w:fldCharType="begin"/>
            </w:r>
            <w:r w:rsidR="0061780E">
              <w:rPr>
                <w:noProof/>
                <w:webHidden/>
              </w:rPr>
              <w:instrText xml:space="preserve"> PAGEREF _Toc146147258 \h </w:instrText>
            </w:r>
            <w:r w:rsidR="0061780E">
              <w:rPr>
                <w:noProof/>
                <w:webHidden/>
              </w:rPr>
            </w:r>
            <w:r w:rsidR="0061780E">
              <w:rPr>
                <w:noProof/>
                <w:webHidden/>
              </w:rPr>
              <w:fldChar w:fldCharType="separate"/>
            </w:r>
            <w:r w:rsidR="0061780E">
              <w:rPr>
                <w:noProof/>
                <w:webHidden/>
              </w:rPr>
              <w:t>24</w:t>
            </w:r>
            <w:r w:rsidR="0061780E">
              <w:rPr>
                <w:noProof/>
                <w:webHidden/>
              </w:rPr>
              <w:fldChar w:fldCharType="end"/>
            </w:r>
          </w:hyperlink>
        </w:p>
        <w:p w14:paraId="5A7ACCE8" w14:textId="04527534" w:rsidR="0061780E" w:rsidRDefault="0076009A">
          <w:pPr>
            <w:pStyle w:val="TOC2"/>
            <w:tabs>
              <w:tab w:val="left" w:pos="880"/>
              <w:tab w:val="right" w:leader="dot" w:pos="9350"/>
            </w:tabs>
            <w:rPr>
              <w:rFonts w:eastAsiaTheme="minorEastAsia"/>
              <w:noProof/>
            </w:rPr>
          </w:pPr>
          <w:hyperlink w:anchor="_Toc146147259" w:history="1">
            <w:r w:rsidR="0061780E" w:rsidRPr="003A25C1">
              <w:rPr>
                <w:rStyle w:val="Hyperlink"/>
                <w:noProof/>
              </w:rPr>
              <w:t>4.2.</w:t>
            </w:r>
            <w:r w:rsidR="0061780E">
              <w:rPr>
                <w:rFonts w:eastAsiaTheme="minorEastAsia"/>
                <w:noProof/>
              </w:rPr>
              <w:tab/>
            </w:r>
            <w:r w:rsidR="0061780E" w:rsidRPr="003A25C1">
              <w:rPr>
                <w:rStyle w:val="Hyperlink"/>
                <w:noProof/>
              </w:rPr>
              <w:t>Environmental Metric</w:t>
            </w:r>
            <w:r w:rsidR="0061780E">
              <w:rPr>
                <w:noProof/>
                <w:webHidden/>
              </w:rPr>
              <w:tab/>
            </w:r>
            <w:r w:rsidR="0061780E">
              <w:rPr>
                <w:noProof/>
                <w:webHidden/>
              </w:rPr>
              <w:fldChar w:fldCharType="begin"/>
            </w:r>
            <w:r w:rsidR="0061780E">
              <w:rPr>
                <w:noProof/>
                <w:webHidden/>
              </w:rPr>
              <w:instrText xml:space="preserve"> PAGEREF _Toc146147259 \h </w:instrText>
            </w:r>
            <w:r w:rsidR="0061780E">
              <w:rPr>
                <w:noProof/>
                <w:webHidden/>
              </w:rPr>
            </w:r>
            <w:r w:rsidR="0061780E">
              <w:rPr>
                <w:noProof/>
                <w:webHidden/>
              </w:rPr>
              <w:fldChar w:fldCharType="separate"/>
            </w:r>
            <w:r w:rsidR="0061780E">
              <w:rPr>
                <w:noProof/>
                <w:webHidden/>
              </w:rPr>
              <w:t>24</w:t>
            </w:r>
            <w:r w:rsidR="0061780E">
              <w:rPr>
                <w:noProof/>
                <w:webHidden/>
              </w:rPr>
              <w:fldChar w:fldCharType="end"/>
            </w:r>
          </w:hyperlink>
        </w:p>
        <w:p w14:paraId="3413C01E" w14:textId="7B45FA9E" w:rsidR="0061780E" w:rsidRDefault="0076009A">
          <w:pPr>
            <w:pStyle w:val="TOC3"/>
            <w:tabs>
              <w:tab w:val="left" w:pos="1320"/>
              <w:tab w:val="right" w:leader="dot" w:pos="9350"/>
            </w:tabs>
            <w:rPr>
              <w:rFonts w:eastAsiaTheme="minorEastAsia"/>
              <w:noProof/>
            </w:rPr>
          </w:pPr>
          <w:hyperlink w:anchor="_Toc146147260" w:history="1">
            <w:r w:rsidR="0061780E" w:rsidRPr="003A25C1">
              <w:rPr>
                <w:rStyle w:val="Hyperlink"/>
                <w:noProof/>
              </w:rPr>
              <w:t>4.2.1.</w:t>
            </w:r>
            <w:r w:rsidR="0061780E">
              <w:rPr>
                <w:rFonts w:eastAsiaTheme="minorEastAsia"/>
                <w:noProof/>
              </w:rPr>
              <w:tab/>
            </w:r>
            <w:r w:rsidR="0061780E" w:rsidRPr="003A25C1">
              <w:rPr>
                <w:rStyle w:val="Hyperlink"/>
                <w:noProof/>
              </w:rPr>
              <w:t>Resource Use and Pollution</w:t>
            </w:r>
            <w:r w:rsidR="0061780E">
              <w:rPr>
                <w:noProof/>
                <w:webHidden/>
              </w:rPr>
              <w:tab/>
            </w:r>
            <w:r w:rsidR="0061780E">
              <w:rPr>
                <w:noProof/>
                <w:webHidden/>
              </w:rPr>
              <w:fldChar w:fldCharType="begin"/>
            </w:r>
            <w:r w:rsidR="0061780E">
              <w:rPr>
                <w:noProof/>
                <w:webHidden/>
              </w:rPr>
              <w:instrText xml:space="preserve"> PAGEREF _Toc146147260 \h </w:instrText>
            </w:r>
            <w:r w:rsidR="0061780E">
              <w:rPr>
                <w:noProof/>
                <w:webHidden/>
              </w:rPr>
            </w:r>
            <w:r w:rsidR="0061780E">
              <w:rPr>
                <w:noProof/>
                <w:webHidden/>
              </w:rPr>
              <w:fldChar w:fldCharType="separate"/>
            </w:r>
            <w:r w:rsidR="0061780E">
              <w:rPr>
                <w:noProof/>
                <w:webHidden/>
              </w:rPr>
              <w:t>24</w:t>
            </w:r>
            <w:r w:rsidR="0061780E">
              <w:rPr>
                <w:noProof/>
                <w:webHidden/>
              </w:rPr>
              <w:fldChar w:fldCharType="end"/>
            </w:r>
          </w:hyperlink>
        </w:p>
        <w:p w14:paraId="74BDFE96" w14:textId="10742C70" w:rsidR="0061780E" w:rsidRDefault="0076009A">
          <w:pPr>
            <w:pStyle w:val="TOC3"/>
            <w:tabs>
              <w:tab w:val="left" w:pos="1320"/>
              <w:tab w:val="right" w:leader="dot" w:pos="9350"/>
            </w:tabs>
            <w:rPr>
              <w:rFonts w:eastAsiaTheme="minorEastAsia"/>
              <w:noProof/>
            </w:rPr>
          </w:pPr>
          <w:hyperlink w:anchor="_Toc146147261" w:history="1">
            <w:r w:rsidR="0061780E" w:rsidRPr="003A25C1">
              <w:rPr>
                <w:rStyle w:val="Hyperlink"/>
                <w:noProof/>
              </w:rPr>
              <w:t>4.2.2.</w:t>
            </w:r>
            <w:r w:rsidR="0061780E">
              <w:rPr>
                <w:rFonts w:eastAsiaTheme="minorEastAsia"/>
                <w:noProof/>
              </w:rPr>
              <w:tab/>
            </w:r>
            <w:r w:rsidR="0061780E" w:rsidRPr="003A25C1">
              <w:rPr>
                <w:rStyle w:val="Hyperlink"/>
                <w:noProof/>
              </w:rPr>
              <w:t>Waste and Emissions</w:t>
            </w:r>
            <w:r w:rsidR="0061780E">
              <w:rPr>
                <w:noProof/>
                <w:webHidden/>
              </w:rPr>
              <w:tab/>
            </w:r>
            <w:r w:rsidR="0061780E">
              <w:rPr>
                <w:noProof/>
                <w:webHidden/>
              </w:rPr>
              <w:fldChar w:fldCharType="begin"/>
            </w:r>
            <w:r w:rsidR="0061780E">
              <w:rPr>
                <w:noProof/>
                <w:webHidden/>
              </w:rPr>
              <w:instrText xml:space="preserve"> PAGEREF _Toc146147261 \h </w:instrText>
            </w:r>
            <w:r w:rsidR="0061780E">
              <w:rPr>
                <w:noProof/>
                <w:webHidden/>
              </w:rPr>
            </w:r>
            <w:r w:rsidR="0061780E">
              <w:rPr>
                <w:noProof/>
                <w:webHidden/>
              </w:rPr>
              <w:fldChar w:fldCharType="separate"/>
            </w:r>
            <w:r w:rsidR="0061780E">
              <w:rPr>
                <w:noProof/>
                <w:webHidden/>
              </w:rPr>
              <w:t>26</w:t>
            </w:r>
            <w:r w:rsidR="0061780E">
              <w:rPr>
                <w:noProof/>
                <w:webHidden/>
              </w:rPr>
              <w:fldChar w:fldCharType="end"/>
            </w:r>
          </w:hyperlink>
        </w:p>
        <w:p w14:paraId="37DCA978" w14:textId="4292B701" w:rsidR="0061780E" w:rsidRDefault="0076009A">
          <w:pPr>
            <w:pStyle w:val="TOC3"/>
            <w:tabs>
              <w:tab w:val="left" w:pos="1320"/>
              <w:tab w:val="right" w:leader="dot" w:pos="9350"/>
            </w:tabs>
            <w:rPr>
              <w:rFonts w:eastAsiaTheme="minorEastAsia"/>
              <w:noProof/>
            </w:rPr>
          </w:pPr>
          <w:hyperlink w:anchor="_Toc146147262" w:history="1">
            <w:r w:rsidR="0061780E" w:rsidRPr="003A25C1">
              <w:rPr>
                <w:rStyle w:val="Hyperlink"/>
                <w:noProof/>
              </w:rPr>
              <w:t>4.2.3.</w:t>
            </w:r>
            <w:r w:rsidR="0061780E">
              <w:rPr>
                <w:rFonts w:eastAsiaTheme="minorEastAsia"/>
                <w:noProof/>
              </w:rPr>
              <w:tab/>
            </w:r>
            <w:r w:rsidR="0061780E" w:rsidRPr="003A25C1">
              <w:rPr>
                <w:rStyle w:val="Hyperlink"/>
                <w:noProof/>
              </w:rPr>
              <w:t>Greenhouse Gas (GHG) and Climate</w:t>
            </w:r>
            <w:r w:rsidR="0061780E">
              <w:rPr>
                <w:noProof/>
                <w:webHidden/>
              </w:rPr>
              <w:tab/>
            </w:r>
            <w:r w:rsidR="0061780E">
              <w:rPr>
                <w:noProof/>
                <w:webHidden/>
              </w:rPr>
              <w:fldChar w:fldCharType="begin"/>
            </w:r>
            <w:r w:rsidR="0061780E">
              <w:rPr>
                <w:noProof/>
                <w:webHidden/>
              </w:rPr>
              <w:instrText xml:space="preserve"> PAGEREF _Toc146147262 \h </w:instrText>
            </w:r>
            <w:r w:rsidR="0061780E">
              <w:rPr>
                <w:noProof/>
                <w:webHidden/>
              </w:rPr>
            </w:r>
            <w:r w:rsidR="0061780E">
              <w:rPr>
                <w:noProof/>
                <w:webHidden/>
              </w:rPr>
              <w:fldChar w:fldCharType="separate"/>
            </w:r>
            <w:r w:rsidR="0061780E">
              <w:rPr>
                <w:noProof/>
                <w:webHidden/>
              </w:rPr>
              <w:t>27</w:t>
            </w:r>
            <w:r w:rsidR="0061780E">
              <w:rPr>
                <w:noProof/>
                <w:webHidden/>
              </w:rPr>
              <w:fldChar w:fldCharType="end"/>
            </w:r>
          </w:hyperlink>
        </w:p>
        <w:p w14:paraId="275E2681" w14:textId="2FBC636F" w:rsidR="0061780E" w:rsidRDefault="0076009A">
          <w:pPr>
            <w:pStyle w:val="TOC2"/>
            <w:tabs>
              <w:tab w:val="left" w:pos="880"/>
              <w:tab w:val="right" w:leader="dot" w:pos="9350"/>
            </w:tabs>
            <w:rPr>
              <w:rFonts w:eastAsiaTheme="minorEastAsia"/>
              <w:noProof/>
            </w:rPr>
          </w:pPr>
          <w:hyperlink w:anchor="_Toc146147263" w:history="1">
            <w:r w:rsidR="0061780E" w:rsidRPr="003A25C1">
              <w:rPr>
                <w:rStyle w:val="Hyperlink"/>
                <w:noProof/>
              </w:rPr>
              <w:t>4.3.</w:t>
            </w:r>
            <w:r w:rsidR="0061780E">
              <w:rPr>
                <w:rFonts w:eastAsiaTheme="minorEastAsia"/>
                <w:noProof/>
              </w:rPr>
              <w:tab/>
            </w:r>
            <w:r w:rsidR="0061780E" w:rsidRPr="003A25C1">
              <w:rPr>
                <w:rStyle w:val="Hyperlink"/>
                <w:noProof/>
              </w:rPr>
              <w:t>Technical Metric</w:t>
            </w:r>
            <w:r w:rsidR="0061780E">
              <w:rPr>
                <w:noProof/>
                <w:webHidden/>
              </w:rPr>
              <w:tab/>
            </w:r>
            <w:r w:rsidR="0061780E">
              <w:rPr>
                <w:noProof/>
                <w:webHidden/>
              </w:rPr>
              <w:fldChar w:fldCharType="begin"/>
            </w:r>
            <w:r w:rsidR="0061780E">
              <w:rPr>
                <w:noProof/>
                <w:webHidden/>
              </w:rPr>
              <w:instrText xml:space="preserve"> PAGEREF _Toc146147263 \h </w:instrText>
            </w:r>
            <w:r w:rsidR="0061780E">
              <w:rPr>
                <w:noProof/>
                <w:webHidden/>
              </w:rPr>
            </w:r>
            <w:r w:rsidR="0061780E">
              <w:rPr>
                <w:noProof/>
                <w:webHidden/>
              </w:rPr>
              <w:fldChar w:fldCharType="separate"/>
            </w:r>
            <w:r w:rsidR="0061780E">
              <w:rPr>
                <w:noProof/>
                <w:webHidden/>
              </w:rPr>
              <w:t>28</w:t>
            </w:r>
            <w:r w:rsidR="0061780E">
              <w:rPr>
                <w:noProof/>
                <w:webHidden/>
              </w:rPr>
              <w:fldChar w:fldCharType="end"/>
            </w:r>
          </w:hyperlink>
        </w:p>
        <w:p w14:paraId="61F7E865" w14:textId="4EC93776" w:rsidR="0061780E" w:rsidRDefault="0076009A">
          <w:pPr>
            <w:pStyle w:val="TOC3"/>
            <w:tabs>
              <w:tab w:val="left" w:pos="1320"/>
              <w:tab w:val="right" w:leader="dot" w:pos="9350"/>
            </w:tabs>
            <w:rPr>
              <w:rFonts w:eastAsiaTheme="minorEastAsia"/>
              <w:noProof/>
            </w:rPr>
          </w:pPr>
          <w:hyperlink w:anchor="_Toc146147264" w:history="1">
            <w:r w:rsidR="0061780E" w:rsidRPr="003A25C1">
              <w:rPr>
                <w:rStyle w:val="Hyperlink"/>
                <w:noProof/>
              </w:rPr>
              <w:t>4.3.1.</w:t>
            </w:r>
            <w:r w:rsidR="0061780E">
              <w:rPr>
                <w:rFonts w:eastAsiaTheme="minorEastAsia"/>
                <w:noProof/>
              </w:rPr>
              <w:tab/>
            </w:r>
            <w:r w:rsidR="0061780E" w:rsidRPr="003A25C1">
              <w:rPr>
                <w:rStyle w:val="Hyperlink"/>
                <w:noProof/>
              </w:rPr>
              <w:t>Infrastructure and Capacity</w:t>
            </w:r>
            <w:r w:rsidR="0061780E">
              <w:rPr>
                <w:noProof/>
                <w:webHidden/>
              </w:rPr>
              <w:tab/>
            </w:r>
            <w:r w:rsidR="0061780E">
              <w:rPr>
                <w:noProof/>
                <w:webHidden/>
              </w:rPr>
              <w:fldChar w:fldCharType="begin"/>
            </w:r>
            <w:r w:rsidR="0061780E">
              <w:rPr>
                <w:noProof/>
                <w:webHidden/>
              </w:rPr>
              <w:instrText xml:space="preserve"> PAGEREF _Toc146147264 \h </w:instrText>
            </w:r>
            <w:r w:rsidR="0061780E">
              <w:rPr>
                <w:noProof/>
                <w:webHidden/>
              </w:rPr>
            </w:r>
            <w:r w:rsidR="0061780E">
              <w:rPr>
                <w:noProof/>
                <w:webHidden/>
              </w:rPr>
              <w:fldChar w:fldCharType="separate"/>
            </w:r>
            <w:r w:rsidR="0061780E">
              <w:rPr>
                <w:noProof/>
                <w:webHidden/>
              </w:rPr>
              <w:t>28</w:t>
            </w:r>
            <w:r w:rsidR="0061780E">
              <w:rPr>
                <w:noProof/>
                <w:webHidden/>
              </w:rPr>
              <w:fldChar w:fldCharType="end"/>
            </w:r>
          </w:hyperlink>
        </w:p>
        <w:p w14:paraId="7E9B5A1B" w14:textId="733DC90F" w:rsidR="0061780E" w:rsidRDefault="0076009A">
          <w:pPr>
            <w:pStyle w:val="TOC3"/>
            <w:tabs>
              <w:tab w:val="left" w:pos="1320"/>
              <w:tab w:val="right" w:leader="dot" w:pos="9350"/>
            </w:tabs>
            <w:rPr>
              <w:rFonts w:eastAsiaTheme="minorEastAsia"/>
              <w:noProof/>
            </w:rPr>
          </w:pPr>
          <w:hyperlink w:anchor="_Toc146147265" w:history="1">
            <w:r w:rsidR="0061780E" w:rsidRPr="003A25C1">
              <w:rPr>
                <w:rStyle w:val="Hyperlink"/>
                <w:noProof/>
              </w:rPr>
              <w:t>4.3.2.</w:t>
            </w:r>
            <w:r w:rsidR="0061780E">
              <w:rPr>
                <w:rFonts w:eastAsiaTheme="minorEastAsia"/>
                <w:noProof/>
              </w:rPr>
              <w:tab/>
            </w:r>
            <w:r w:rsidR="0061780E" w:rsidRPr="003A25C1">
              <w:rPr>
                <w:rStyle w:val="Hyperlink"/>
                <w:noProof/>
              </w:rPr>
              <w:t>Efficiency and Performance</w:t>
            </w:r>
            <w:r w:rsidR="0061780E">
              <w:rPr>
                <w:noProof/>
                <w:webHidden/>
              </w:rPr>
              <w:tab/>
            </w:r>
            <w:r w:rsidR="0061780E">
              <w:rPr>
                <w:noProof/>
                <w:webHidden/>
              </w:rPr>
              <w:fldChar w:fldCharType="begin"/>
            </w:r>
            <w:r w:rsidR="0061780E">
              <w:rPr>
                <w:noProof/>
                <w:webHidden/>
              </w:rPr>
              <w:instrText xml:space="preserve"> PAGEREF _Toc146147265 \h </w:instrText>
            </w:r>
            <w:r w:rsidR="0061780E">
              <w:rPr>
                <w:noProof/>
                <w:webHidden/>
              </w:rPr>
            </w:r>
            <w:r w:rsidR="0061780E">
              <w:rPr>
                <w:noProof/>
                <w:webHidden/>
              </w:rPr>
              <w:fldChar w:fldCharType="separate"/>
            </w:r>
            <w:r w:rsidR="0061780E">
              <w:rPr>
                <w:noProof/>
                <w:webHidden/>
              </w:rPr>
              <w:t>29</w:t>
            </w:r>
            <w:r w:rsidR="0061780E">
              <w:rPr>
                <w:noProof/>
                <w:webHidden/>
              </w:rPr>
              <w:fldChar w:fldCharType="end"/>
            </w:r>
          </w:hyperlink>
        </w:p>
        <w:p w14:paraId="28DCC1D6" w14:textId="503917FA" w:rsidR="0061780E" w:rsidRDefault="0076009A">
          <w:pPr>
            <w:pStyle w:val="TOC3"/>
            <w:tabs>
              <w:tab w:val="left" w:pos="1320"/>
              <w:tab w:val="right" w:leader="dot" w:pos="9350"/>
            </w:tabs>
            <w:rPr>
              <w:rFonts w:eastAsiaTheme="minorEastAsia"/>
              <w:noProof/>
            </w:rPr>
          </w:pPr>
          <w:hyperlink w:anchor="_Toc146147266" w:history="1">
            <w:r w:rsidR="0061780E" w:rsidRPr="003A25C1">
              <w:rPr>
                <w:rStyle w:val="Hyperlink"/>
                <w:noProof/>
              </w:rPr>
              <w:t>4.3.3.</w:t>
            </w:r>
            <w:r w:rsidR="0061780E">
              <w:rPr>
                <w:rFonts w:eastAsiaTheme="minorEastAsia"/>
                <w:noProof/>
              </w:rPr>
              <w:tab/>
            </w:r>
            <w:r w:rsidR="0061780E" w:rsidRPr="003A25C1">
              <w:rPr>
                <w:rStyle w:val="Hyperlink"/>
                <w:noProof/>
              </w:rPr>
              <w:t>Technology Readiness</w:t>
            </w:r>
            <w:r w:rsidR="0061780E">
              <w:rPr>
                <w:noProof/>
                <w:webHidden/>
              </w:rPr>
              <w:tab/>
            </w:r>
            <w:r w:rsidR="0061780E">
              <w:rPr>
                <w:noProof/>
                <w:webHidden/>
              </w:rPr>
              <w:fldChar w:fldCharType="begin"/>
            </w:r>
            <w:r w:rsidR="0061780E">
              <w:rPr>
                <w:noProof/>
                <w:webHidden/>
              </w:rPr>
              <w:instrText xml:space="preserve"> PAGEREF _Toc146147266 \h </w:instrText>
            </w:r>
            <w:r w:rsidR="0061780E">
              <w:rPr>
                <w:noProof/>
                <w:webHidden/>
              </w:rPr>
            </w:r>
            <w:r w:rsidR="0061780E">
              <w:rPr>
                <w:noProof/>
                <w:webHidden/>
              </w:rPr>
              <w:fldChar w:fldCharType="separate"/>
            </w:r>
            <w:r w:rsidR="0061780E">
              <w:rPr>
                <w:noProof/>
                <w:webHidden/>
              </w:rPr>
              <w:t>31</w:t>
            </w:r>
            <w:r w:rsidR="0061780E">
              <w:rPr>
                <w:noProof/>
                <w:webHidden/>
              </w:rPr>
              <w:fldChar w:fldCharType="end"/>
            </w:r>
          </w:hyperlink>
        </w:p>
        <w:p w14:paraId="3804E451" w14:textId="5981BA28" w:rsidR="0061780E" w:rsidRDefault="0076009A">
          <w:pPr>
            <w:pStyle w:val="TOC3"/>
            <w:tabs>
              <w:tab w:val="left" w:pos="1320"/>
              <w:tab w:val="right" w:leader="dot" w:pos="9350"/>
            </w:tabs>
            <w:rPr>
              <w:rFonts w:eastAsiaTheme="minorEastAsia"/>
              <w:noProof/>
            </w:rPr>
          </w:pPr>
          <w:hyperlink w:anchor="_Toc146147267" w:history="1">
            <w:r w:rsidR="0061780E" w:rsidRPr="003A25C1">
              <w:rPr>
                <w:rStyle w:val="Hyperlink"/>
                <w:noProof/>
              </w:rPr>
              <w:t>4.3.4.</w:t>
            </w:r>
            <w:r w:rsidR="0061780E">
              <w:rPr>
                <w:rFonts w:eastAsiaTheme="minorEastAsia"/>
                <w:noProof/>
              </w:rPr>
              <w:tab/>
            </w:r>
            <w:r w:rsidR="0061780E" w:rsidRPr="003A25C1">
              <w:rPr>
                <w:rStyle w:val="Hyperlink"/>
                <w:noProof/>
              </w:rPr>
              <w:t>Safety and Risk Management</w:t>
            </w:r>
            <w:r w:rsidR="0061780E">
              <w:rPr>
                <w:noProof/>
                <w:webHidden/>
              </w:rPr>
              <w:tab/>
            </w:r>
            <w:r w:rsidR="0061780E">
              <w:rPr>
                <w:noProof/>
                <w:webHidden/>
              </w:rPr>
              <w:fldChar w:fldCharType="begin"/>
            </w:r>
            <w:r w:rsidR="0061780E">
              <w:rPr>
                <w:noProof/>
                <w:webHidden/>
              </w:rPr>
              <w:instrText xml:space="preserve"> PAGEREF _Toc146147267 \h </w:instrText>
            </w:r>
            <w:r w:rsidR="0061780E">
              <w:rPr>
                <w:noProof/>
                <w:webHidden/>
              </w:rPr>
            </w:r>
            <w:r w:rsidR="0061780E">
              <w:rPr>
                <w:noProof/>
                <w:webHidden/>
              </w:rPr>
              <w:fldChar w:fldCharType="separate"/>
            </w:r>
            <w:r w:rsidR="0061780E">
              <w:rPr>
                <w:noProof/>
                <w:webHidden/>
              </w:rPr>
              <w:t>31</w:t>
            </w:r>
            <w:r w:rsidR="0061780E">
              <w:rPr>
                <w:noProof/>
                <w:webHidden/>
              </w:rPr>
              <w:fldChar w:fldCharType="end"/>
            </w:r>
          </w:hyperlink>
        </w:p>
        <w:p w14:paraId="2EB7CC65" w14:textId="04870265" w:rsidR="0061780E" w:rsidRDefault="0076009A">
          <w:pPr>
            <w:pStyle w:val="TOC3"/>
            <w:tabs>
              <w:tab w:val="left" w:pos="1320"/>
              <w:tab w:val="right" w:leader="dot" w:pos="9350"/>
            </w:tabs>
            <w:rPr>
              <w:rFonts w:eastAsiaTheme="minorEastAsia"/>
              <w:noProof/>
            </w:rPr>
          </w:pPr>
          <w:hyperlink w:anchor="_Toc146147268" w:history="1">
            <w:r w:rsidR="0061780E" w:rsidRPr="003A25C1">
              <w:rPr>
                <w:rStyle w:val="Hyperlink"/>
                <w:noProof/>
              </w:rPr>
              <w:t>4.3.5.</w:t>
            </w:r>
            <w:r w:rsidR="0061780E">
              <w:rPr>
                <w:rFonts w:eastAsiaTheme="minorEastAsia"/>
                <w:noProof/>
              </w:rPr>
              <w:tab/>
            </w:r>
            <w:r w:rsidR="0061780E" w:rsidRPr="003A25C1">
              <w:rPr>
                <w:rStyle w:val="Hyperlink"/>
                <w:noProof/>
              </w:rPr>
              <w:t>Availability and Reliability</w:t>
            </w:r>
            <w:r w:rsidR="0061780E">
              <w:rPr>
                <w:noProof/>
                <w:webHidden/>
              </w:rPr>
              <w:tab/>
            </w:r>
            <w:r w:rsidR="0061780E">
              <w:rPr>
                <w:noProof/>
                <w:webHidden/>
              </w:rPr>
              <w:fldChar w:fldCharType="begin"/>
            </w:r>
            <w:r w:rsidR="0061780E">
              <w:rPr>
                <w:noProof/>
                <w:webHidden/>
              </w:rPr>
              <w:instrText xml:space="preserve"> PAGEREF _Toc146147268 \h </w:instrText>
            </w:r>
            <w:r w:rsidR="0061780E">
              <w:rPr>
                <w:noProof/>
                <w:webHidden/>
              </w:rPr>
            </w:r>
            <w:r w:rsidR="0061780E">
              <w:rPr>
                <w:noProof/>
                <w:webHidden/>
              </w:rPr>
              <w:fldChar w:fldCharType="separate"/>
            </w:r>
            <w:r w:rsidR="0061780E">
              <w:rPr>
                <w:noProof/>
                <w:webHidden/>
              </w:rPr>
              <w:t>32</w:t>
            </w:r>
            <w:r w:rsidR="0061780E">
              <w:rPr>
                <w:noProof/>
                <w:webHidden/>
              </w:rPr>
              <w:fldChar w:fldCharType="end"/>
            </w:r>
          </w:hyperlink>
        </w:p>
        <w:p w14:paraId="5C2917C8" w14:textId="4DC99E33" w:rsidR="0061780E" w:rsidRDefault="0076009A">
          <w:pPr>
            <w:pStyle w:val="TOC2"/>
            <w:tabs>
              <w:tab w:val="left" w:pos="880"/>
              <w:tab w:val="right" w:leader="dot" w:pos="9350"/>
            </w:tabs>
            <w:rPr>
              <w:rFonts w:eastAsiaTheme="minorEastAsia"/>
              <w:noProof/>
            </w:rPr>
          </w:pPr>
          <w:hyperlink w:anchor="_Toc146147269" w:history="1">
            <w:r w:rsidR="0061780E" w:rsidRPr="003A25C1">
              <w:rPr>
                <w:rStyle w:val="Hyperlink"/>
                <w:noProof/>
              </w:rPr>
              <w:t>4.4.</w:t>
            </w:r>
            <w:r w:rsidR="0061780E">
              <w:rPr>
                <w:rFonts w:eastAsiaTheme="minorEastAsia"/>
                <w:noProof/>
              </w:rPr>
              <w:tab/>
            </w:r>
            <w:r w:rsidR="0061780E" w:rsidRPr="003A25C1">
              <w:rPr>
                <w:rStyle w:val="Hyperlink"/>
                <w:noProof/>
              </w:rPr>
              <w:t>Social Metric</w:t>
            </w:r>
            <w:r w:rsidR="0061780E">
              <w:rPr>
                <w:noProof/>
                <w:webHidden/>
              </w:rPr>
              <w:tab/>
            </w:r>
            <w:r w:rsidR="0061780E">
              <w:rPr>
                <w:noProof/>
                <w:webHidden/>
              </w:rPr>
              <w:fldChar w:fldCharType="begin"/>
            </w:r>
            <w:r w:rsidR="0061780E">
              <w:rPr>
                <w:noProof/>
                <w:webHidden/>
              </w:rPr>
              <w:instrText xml:space="preserve"> PAGEREF _Toc146147269 \h </w:instrText>
            </w:r>
            <w:r w:rsidR="0061780E">
              <w:rPr>
                <w:noProof/>
                <w:webHidden/>
              </w:rPr>
            </w:r>
            <w:r w:rsidR="0061780E">
              <w:rPr>
                <w:noProof/>
                <w:webHidden/>
              </w:rPr>
              <w:fldChar w:fldCharType="separate"/>
            </w:r>
            <w:r w:rsidR="0061780E">
              <w:rPr>
                <w:noProof/>
                <w:webHidden/>
              </w:rPr>
              <w:t>33</w:t>
            </w:r>
            <w:r w:rsidR="0061780E">
              <w:rPr>
                <w:noProof/>
                <w:webHidden/>
              </w:rPr>
              <w:fldChar w:fldCharType="end"/>
            </w:r>
          </w:hyperlink>
        </w:p>
        <w:p w14:paraId="2F822C5F" w14:textId="4B9BC673" w:rsidR="0061780E" w:rsidRDefault="0076009A">
          <w:pPr>
            <w:pStyle w:val="TOC3"/>
            <w:tabs>
              <w:tab w:val="left" w:pos="1320"/>
              <w:tab w:val="right" w:leader="dot" w:pos="9350"/>
            </w:tabs>
            <w:rPr>
              <w:rFonts w:eastAsiaTheme="minorEastAsia"/>
              <w:noProof/>
            </w:rPr>
          </w:pPr>
          <w:hyperlink w:anchor="_Toc146147270" w:history="1">
            <w:r w:rsidR="0061780E" w:rsidRPr="003A25C1">
              <w:rPr>
                <w:rStyle w:val="Hyperlink"/>
                <w:noProof/>
              </w:rPr>
              <w:t>4.4.1.</w:t>
            </w:r>
            <w:r w:rsidR="0061780E">
              <w:rPr>
                <w:rFonts w:eastAsiaTheme="minorEastAsia"/>
                <w:noProof/>
              </w:rPr>
              <w:tab/>
            </w:r>
            <w:r w:rsidR="0061780E" w:rsidRPr="003A25C1">
              <w:rPr>
                <w:rStyle w:val="Hyperlink"/>
                <w:noProof/>
              </w:rPr>
              <w:t>Community Impact</w:t>
            </w:r>
            <w:r w:rsidR="0061780E">
              <w:rPr>
                <w:noProof/>
                <w:webHidden/>
              </w:rPr>
              <w:tab/>
            </w:r>
            <w:r w:rsidR="0061780E">
              <w:rPr>
                <w:noProof/>
                <w:webHidden/>
              </w:rPr>
              <w:fldChar w:fldCharType="begin"/>
            </w:r>
            <w:r w:rsidR="0061780E">
              <w:rPr>
                <w:noProof/>
                <w:webHidden/>
              </w:rPr>
              <w:instrText xml:space="preserve"> PAGEREF _Toc146147270 \h </w:instrText>
            </w:r>
            <w:r w:rsidR="0061780E">
              <w:rPr>
                <w:noProof/>
                <w:webHidden/>
              </w:rPr>
            </w:r>
            <w:r w:rsidR="0061780E">
              <w:rPr>
                <w:noProof/>
                <w:webHidden/>
              </w:rPr>
              <w:fldChar w:fldCharType="separate"/>
            </w:r>
            <w:r w:rsidR="0061780E">
              <w:rPr>
                <w:noProof/>
                <w:webHidden/>
              </w:rPr>
              <w:t>33</w:t>
            </w:r>
            <w:r w:rsidR="0061780E">
              <w:rPr>
                <w:noProof/>
                <w:webHidden/>
              </w:rPr>
              <w:fldChar w:fldCharType="end"/>
            </w:r>
          </w:hyperlink>
        </w:p>
        <w:p w14:paraId="2FED14C0" w14:textId="0EFCC1B9" w:rsidR="0061780E" w:rsidRDefault="0076009A">
          <w:pPr>
            <w:pStyle w:val="TOC3"/>
            <w:tabs>
              <w:tab w:val="left" w:pos="1320"/>
              <w:tab w:val="right" w:leader="dot" w:pos="9350"/>
            </w:tabs>
            <w:rPr>
              <w:rFonts w:eastAsiaTheme="minorEastAsia"/>
              <w:noProof/>
            </w:rPr>
          </w:pPr>
          <w:hyperlink w:anchor="_Toc146147271" w:history="1">
            <w:r w:rsidR="0061780E" w:rsidRPr="003A25C1">
              <w:rPr>
                <w:rStyle w:val="Hyperlink"/>
                <w:noProof/>
              </w:rPr>
              <w:t>4.4.2.</w:t>
            </w:r>
            <w:r w:rsidR="0061780E">
              <w:rPr>
                <w:rFonts w:eastAsiaTheme="minorEastAsia"/>
                <w:noProof/>
              </w:rPr>
              <w:tab/>
            </w:r>
            <w:r w:rsidR="0061780E" w:rsidRPr="003A25C1">
              <w:rPr>
                <w:rStyle w:val="Hyperlink"/>
                <w:noProof/>
              </w:rPr>
              <w:t>Workforce Development</w:t>
            </w:r>
            <w:r w:rsidR="0061780E">
              <w:rPr>
                <w:noProof/>
                <w:webHidden/>
              </w:rPr>
              <w:tab/>
            </w:r>
            <w:r w:rsidR="0061780E">
              <w:rPr>
                <w:noProof/>
                <w:webHidden/>
              </w:rPr>
              <w:fldChar w:fldCharType="begin"/>
            </w:r>
            <w:r w:rsidR="0061780E">
              <w:rPr>
                <w:noProof/>
                <w:webHidden/>
              </w:rPr>
              <w:instrText xml:space="preserve"> PAGEREF _Toc146147271 \h </w:instrText>
            </w:r>
            <w:r w:rsidR="0061780E">
              <w:rPr>
                <w:noProof/>
                <w:webHidden/>
              </w:rPr>
            </w:r>
            <w:r w:rsidR="0061780E">
              <w:rPr>
                <w:noProof/>
                <w:webHidden/>
              </w:rPr>
              <w:fldChar w:fldCharType="separate"/>
            </w:r>
            <w:r w:rsidR="0061780E">
              <w:rPr>
                <w:noProof/>
                <w:webHidden/>
              </w:rPr>
              <w:t>34</w:t>
            </w:r>
            <w:r w:rsidR="0061780E">
              <w:rPr>
                <w:noProof/>
                <w:webHidden/>
              </w:rPr>
              <w:fldChar w:fldCharType="end"/>
            </w:r>
          </w:hyperlink>
        </w:p>
        <w:p w14:paraId="3541D43B" w14:textId="279FC424" w:rsidR="0061780E" w:rsidRDefault="0076009A">
          <w:pPr>
            <w:pStyle w:val="TOC3"/>
            <w:tabs>
              <w:tab w:val="left" w:pos="1320"/>
              <w:tab w:val="right" w:leader="dot" w:pos="9350"/>
            </w:tabs>
            <w:rPr>
              <w:rFonts w:eastAsiaTheme="minorEastAsia"/>
              <w:noProof/>
            </w:rPr>
          </w:pPr>
          <w:hyperlink w:anchor="_Toc146147272" w:history="1">
            <w:r w:rsidR="0061780E" w:rsidRPr="003A25C1">
              <w:rPr>
                <w:rStyle w:val="Hyperlink"/>
                <w:noProof/>
              </w:rPr>
              <w:t>4.4.3.</w:t>
            </w:r>
            <w:r w:rsidR="0061780E">
              <w:rPr>
                <w:rFonts w:eastAsiaTheme="minorEastAsia"/>
                <w:noProof/>
              </w:rPr>
              <w:tab/>
            </w:r>
            <w:r w:rsidR="0061780E" w:rsidRPr="003A25C1">
              <w:rPr>
                <w:rStyle w:val="Hyperlink"/>
                <w:noProof/>
              </w:rPr>
              <w:t>Health and Safety</w:t>
            </w:r>
            <w:r w:rsidR="0061780E">
              <w:rPr>
                <w:noProof/>
                <w:webHidden/>
              </w:rPr>
              <w:tab/>
            </w:r>
            <w:r w:rsidR="0061780E">
              <w:rPr>
                <w:noProof/>
                <w:webHidden/>
              </w:rPr>
              <w:fldChar w:fldCharType="begin"/>
            </w:r>
            <w:r w:rsidR="0061780E">
              <w:rPr>
                <w:noProof/>
                <w:webHidden/>
              </w:rPr>
              <w:instrText xml:space="preserve"> PAGEREF _Toc146147272 \h </w:instrText>
            </w:r>
            <w:r w:rsidR="0061780E">
              <w:rPr>
                <w:noProof/>
                <w:webHidden/>
              </w:rPr>
            </w:r>
            <w:r w:rsidR="0061780E">
              <w:rPr>
                <w:noProof/>
                <w:webHidden/>
              </w:rPr>
              <w:fldChar w:fldCharType="separate"/>
            </w:r>
            <w:r w:rsidR="0061780E">
              <w:rPr>
                <w:noProof/>
                <w:webHidden/>
              </w:rPr>
              <w:t>34</w:t>
            </w:r>
            <w:r w:rsidR="0061780E">
              <w:rPr>
                <w:noProof/>
                <w:webHidden/>
              </w:rPr>
              <w:fldChar w:fldCharType="end"/>
            </w:r>
          </w:hyperlink>
        </w:p>
        <w:p w14:paraId="3977A40A" w14:textId="7C60F2A1" w:rsidR="0061780E" w:rsidRDefault="0076009A">
          <w:pPr>
            <w:pStyle w:val="TOC3"/>
            <w:tabs>
              <w:tab w:val="left" w:pos="1320"/>
              <w:tab w:val="right" w:leader="dot" w:pos="9350"/>
            </w:tabs>
            <w:rPr>
              <w:rFonts w:eastAsiaTheme="minorEastAsia"/>
              <w:noProof/>
            </w:rPr>
          </w:pPr>
          <w:hyperlink w:anchor="_Toc146147273" w:history="1">
            <w:r w:rsidR="0061780E" w:rsidRPr="003A25C1">
              <w:rPr>
                <w:rStyle w:val="Hyperlink"/>
                <w:noProof/>
              </w:rPr>
              <w:t>4.4.4.</w:t>
            </w:r>
            <w:r w:rsidR="0061780E">
              <w:rPr>
                <w:rFonts w:eastAsiaTheme="minorEastAsia"/>
                <w:noProof/>
              </w:rPr>
              <w:tab/>
            </w:r>
            <w:r w:rsidR="0061780E" w:rsidRPr="003A25C1">
              <w:rPr>
                <w:rStyle w:val="Hyperlink"/>
                <w:noProof/>
              </w:rPr>
              <w:t>Equality and Fairness</w:t>
            </w:r>
            <w:r w:rsidR="0061780E">
              <w:rPr>
                <w:noProof/>
                <w:webHidden/>
              </w:rPr>
              <w:tab/>
            </w:r>
            <w:r w:rsidR="0061780E">
              <w:rPr>
                <w:noProof/>
                <w:webHidden/>
              </w:rPr>
              <w:fldChar w:fldCharType="begin"/>
            </w:r>
            <w:r w:rsidR="0061780E">
              <w:rPr>
                <w:noProof/>
                <w:webHidden/>
              </w:rPr>
              <w:instrText xml:space="preserve"> PAGEREF _Toc146147273 \h </w:instrText>
            </w:r>
            <w:r w:rsidR="0061780E">
              <w:rPr>
                <w:noProof/>
                <w:webHidden/>
              </w:rPr>
            </w:r>
            <w:r w:rsidR="0061780E">
              <w:rPr>
                <w:noProof/>
                <w:webHidden/>
              </w:rPr>
              <w:fldChar w:fldCharType="separate"/>
            </w:r>
            <w:r w:rsidR="0061780E">
              <w:rPr>
                <w:noProof/>
                <w:webHidden/>
              </w:rPr>
              <w:t>35</w:t>
            </w:r>
            <w:r w:rsidR="0061780E">
              <w:rPr>
                <w:noProof/>
                <w:webHidden/>
              </w:rPr>
              <w:fldChar w:fldCharType="end"/>
            </w:r>
          </w:hyperlink>
        </w:p>
        <w:p w14:paraId="3DDCEDD9" w14:textId="0594F0CF" w:rsidR="0061780E" w:rsidRDefault="0076009A">
          <w:pPr>
            <w:pStyle w:val="TOC3"/>
            <w:tabs>
              <w:tab w:val="left" w:pos="1320"/>
              <w:tab w:val="right" w:leader="dot" w:pos="9350"/>
            </w:tabs>
            <w:rPr>
              <w:rFonts w:eastAsiaTheme="minorEastAsia"/>
              <w:noProof/>
            </w:rPr>
          </w:pPr>
          <w:hyperlink w:anchor="_Toc146147274" w:history="1">
            <w:r w:rsidR="0061780E" w:rsidRPr="003A25C1">
              <w:rPr>
                <w:rStyle w:val="Hyperlink"/>
                <w:noProof/>
              </w:rPr>
              <w:t>4.4.5.</w:t>
            </w:r>
            <w:r w:rsidR="0061780E">
              <w:rPr>
                <w:rFonts w:eastAsiaTheme="minorEastAsia"/>
                <w:noProof/>
              </w:rPr>
              <w:tab/>
            </w:r>
            <w:r w:rsidR="0061780E" w:rsidRPr="003A25C1">
              <w:rPr>
                <w:rStyle w:val="Hyperlink"/>
                <w:noProof/>
              </w:rPr>
              <w:t>Local Development</w:t>
            </w:r>
            <w:r w:rsidR="0061780E">
              <w:rPr>
                <w:noProof/>
                <w:webHidden/>
              </w:rPr>
              <w:tab/>
            </w:r>
            <w:r w:rsidR="0061780E">
              <w:rPr>
                <w:noProof/>
                <w:webHidden/>
              </w:rPr>
              <w:fldChar w:fldCharType="begin"/>
            </w:r>
            <w:r w:rsidR="0061780E">
              <w:rPr>
                <w:noProof/>
                <w:webHidden/>
              </w:rPr>
              <w:instrText xml:space="preserve"> PAGEREF _Toc146147274 \h </w:instrText>
            </w:r>
            <w:r w:rsidR="0061780E">
              <w:rPr>
                <w:noProof/>
                <w:webHidden/>
              </w:rPr>
            </w:r>
            <w:r w:rsidR="0061780E">
              <w:rPr>
                <w:noProof/>
                <w:webHidden/>
              </w:rPr>
              <w:fldChar w:fldCharType="separate"/>
            </w:r>
            <w:r w:rsidR="0061780E">
              <w:rPr>
                <w:noProof/>
                <w:webHidden/>
              </w:rPr>
              <w:t>36</w:t>
            </w:r>
            <w:r w:rsidR="0061780E">
              <w:rPr>
                <w:noProof/>
                <w:webHidden/>
              </w:rPr>
              <w:fldChar w:fldCharType="end"/>
            </w:r>
          </w:hyperlink>
        </w:p>
        <w:p w14:paraId="5F9D6BFB" w14:textId="7612E322" w:rsidR="0061780E" w:rsidRDefault="0076009A">
          <w:pPr>
            <w:pStyle w:val="TOC1"/>
            <w:tabs>
              <w:tab w:val="left" w:pos="440"/>
              <w:tab w:val="right" w:leader="dot" w:pos="9350"/>
            </w:tabs>
            <w:rPr>
              <w:rFonts w:eastAsiaTheme="minorEastAsia"/>
              <w:noProof/>
            </w:rPr>
          </w:pPr>
          <w:hyperlink w:anchor="_Toc146147275" w:history="1">
            <w:r w:rsidR="0061780E" w:rsidRPr="003A25C1">
              <w:rPr>
                <w:rStyle w:val="Hyperlink"/>
                <w:noProof/>
              </w:rPr>
              <w:t>5.</w:t>
            </w:r>
            <w:r w:rsidR="0061780E">
              <w:rPr>
                <w:rFonts w:eastAsiaTheme="minorEastAsia"/>
                <w:noProof/>
              </w:rPr>
              <w:tab/>
            </w:r>
            <w:r w:rsidR="0061780E" w:rsidRPr="003A25C1">
              <w:rPr>
                <w:rStyle w:val="Hyperlink"/>
                <w:noProof/>
              </w:rPr>
              <w:t>References</w:t>
            </w:r>
            <w:r w:rsidR="0061780E">
              <w:rPr>
                <w:noProof/>
                <w:webHidden/>
              </w:rPr>
              <w:tab/>
            </w:r>
            <w:r w:rsidR="0061780E">
              <w:rPr>
                <w:noProof/>
                <w:webHidden/>
              </w:rPr>
              <w:fldChar w:fldCharType="begin"/>
            </w:r>
            <w:r w:rsidR="0061780E">
              <w:rPr>
                <w:noProof/>
                <w:webHidden/>
              </w:rPr>
              <w:instrText xml:space="preserve"> PAGEREF _Toc146147275 \h </w:instrText>
            </w:r>
            <w:r w:rsidR="0061780E">
              <w:rPr>
                <w:noProof/>
                <w:webHidden/>
              </w:rPr>
            </w:r>
            <w:r w:rsidR="0061780E">
              <w:rPr>
                <w:noProof/>
                <w:webHidden/>
              </w:rPr>
              <w:fldChar w:fldCharType="separate"/>
            </w:r>
            <w:r w:rsidR="0061780E">
              <w:rPr>
                <w:noProof/>
                <w:webHidden/>
              </w:rPr>
              <w:t>38</w:t>
            </w:r>
            <w:r w:rsidR="0061780E">
              <w:rPr>
                <w:noProof/>
                <w:webHidden/>
              </w:rPr>
              <w:fldChar w:fldCharType="end"/>
            </w:r>
          </w:hyperlink>
        </w:p>
        <w:p w14:paraId="19D2ED6E" w14:textId="1EFB971E" w:rsidR="001C0EDF" w:rsidRPr="00C22C47" w:rsidRDefault="001C0EDF">
          <w:pPr>
            <w:rPr>
              <w:color w:val="000000" w:themeColor="text1"/>
            </w:rPr>
          </w:pPr>
          <w:r w:rsidRPr="00C22C47">
            <w:rPr>
              <w:b/>
              <w:bCs/>
              <w:noProof/>
              <w:color w:val="000000" w:themeColor="text1"/>
            </w:rPr>
            <w:fldChar w:fldCharType="end"/>
          </w:r>
        </w:p>
      </w:sdtContent>
    </w:sdt>
    <w:p w14:paraId="6986DBD0" w14:textId="40338BE8" w:rsidR="00423DAB" w:rsidRPr="00C22C47" w:rsidRDefault="00423DAB">
      <w:pPr>
        <w:spacing w:before="0"/>
        <w:jc w:val="left"/>
        <w:rPr>
          <w:color w:val="000000" w:themeColor="text1"/>
        </w:rPr>
      </w:pPr>
      <w:r w:rsidRPr="00C22C47">
        <w:rPr>
          <w:color w:val="000000" w:themeColor="text1"/>
        </w:rPr>
        <w:br w:type="page"/>
      </w:r>
    </w:p>
    <w:p w14:paraId="6F19F5E9" w14:textId="29A8B4C5" w:rsidR="000F112B" w:rsidRPr="00C22C47" w:rsidRDefault="000F112B" w:rsidP="00F80D1B">
      <w:pPr>
        <w:pStyle w:val="Heading1"/>
      </w:pPr>
      <w:bookmarkStart w:id="0" w:name="_Toc146147226"/>
      <w:r w:rsidRPr="00C22C47">
        <w:t>Introduction</w:t>
      </w:r>
      <w:bookmarkEnd w:id="0"/>
    </w:p>
    <w:p w14:paraId="3F817CE0" w14:textId="31FCAD1A" w:rsidR="007513CA" w:rsidRPr="00C22C47" w:rsidRDefault="000F112B" w:rsidP="00FB3C63">
      <w:pPr>
        <w:rPr>
          <w:color w:val="000000" w:themeColor="text1"/>
        </w:rPr>
      </w:pPr>
      <w:r w:rsidRPr="00C22C47">
        <w:rPr>
          <w:color w:val="000000" w:themeColor="text1"/>
        </w:rPr>
        <w:t xml:space="preserve">Over the past several years, many countries have announced plans to include hydrogen as a key tool in decarbonization of their economy. Germany, the UK, Netherlands, Chile, Finland, the U.S. and more have not only announced national roadmaps or strategies but have committed to billions of dollars to advancement and deployment of hydrogen technologies. Given this </w:t>
      </w:r>
      <w:r w:rsidR="00C31D15" w:rsidRPr="00C22C47">
        <w:rPr>
          <w:color w:val="000000" w:themeColor="text1"/>
        </w:rPr>
        <w:t>heightened</w:t>
      </w:r>
      <w:r w:rsidRPr="00C22C47">
        <w:rPr>
          <w:color w:val="000000" w:themeColor="text1"/>
        </w:rPr>
        <w:t xml:space="preserve"> interest in hydrogen and the expected growth</w:t>
      </w:r>
      <w:r w:rsidR="00F56278" w:rsidRPr="00C22C47">
        <w:rPr>
          <w:color w:val="000000" w:themeColor="text1"/>
        </w:rPr>
        <w:t xml:space="preserve"> in project development</w:t>
      </w:r>
      <w:r w:rsidRPr="00C22C47">
        <w:rPr>
          <w:color w:val="000000" w:themeColor="text1"/>
        </w:rPr>
        <w:t xml:space="preserve"> to come over the next few decades, one key area of concern that has yet to be addressed is sustainability of hydrogen supply chain infrastructure projects.</w:t>
      </w:r>
      <w:r w:rsidR="00163B36" w:rsidRPr="00C22C47">
        <w:rPr>
          <w:color w:val="000000" w:themeColor="text1"/>
        </w:rPr>
        <w:t xml:space="preserve"> </w:t>
      </w:r>
      <w:r w:rsidRPr="00C22C47">
        <w:rPr>
          <w:color w:val="000000" w:themeColor="text1"/>
        </w:rPr>
        <w:t xml:space="preserve">Whether it’s production, transmission, storage or end use, the sustainability of these projects should be addressed to ensure the project results in a net benefit to society. </w:t>
      </w:r>
      <w:r w:rsidR="4328FF49" w:rsidRPr="00C22C47">
        <w:rPr>
          <w:color w:val="000000" w:themeColor="text1"/>
        </w:rPr>
        <w:t xml:space="preserve">Sustainability </w:t>
      </w:r>
      <w:r w:rsidRPr="00C22C47">
        <w:rPr>
          <w:color w:val="000000" w:themeColor="text1"/>
        </w:rPr>
        <w:t>benefit</w:t>
      </w:r>
      <w:r w:rsidR="0A11AFC1" w:rsidRPr="00C22C47">
        <w:rPr>
          <w:color w:val="000000" w:themeColor="text1"/>
        </w:rPr>
        <w:t>s</w:t>
      </w:r>
      <w:r w:rsidRPr="00C22C47">
        <w:rPr>
          <w:color w:val="000000" w:themeColor="text1"/>
        </w:rPr>
        <w:t xml:space="preserve"> could be realized in numerous ways. </w:t>
      </w:r>
    </w:p>
    <w:p w14:paraId="518143A0" w14:textId="49ABD561" w:rsidR="000F112B" w:rsidRPr="00C22C47" w:rsidRDefault="000F112B" w:rsidP="00FB3C63">
      <w:pPr>
        <w:rPr>
          <w:color w:val="000000" w:themeColor="text1"/>
        </w:rPr>
      </w:pPr>
      <w:r w:rsidRPr="00C22C47">
        <w:rPr>
          <w:color w:val="000000" w:themeColor="text1"/>
        </w:rPr>
        <w:t xml:space="preserve">Today, project developers understand very well </w:t>
      </w:r>
      <w:r w:rsidR="0071439B" w:rsidRPr="00C22C47">
        <w:rPr>
          <w:color w:val="000000" w:themeColor="text1"/>
        </w:rPr>
        <w:t xml:space="preserve">key economic </w:t>
      </w:r>
      <w:r w:rsidR="4E6A9028" w:rsidRPr="00C22C47">
        <w:rPr>
          <w:color w:val="000000" w:themeColor="text1"/>
        </w:rPr>
        <w:t>metrics</w:t>
      </w:r>
      <w:r w:rsidR="0071439B" w:rsidRPr="00C22C47">
        <w:rPr>
          <w:color w:val="000000" w:themeColor="text1"/>
        </w:rPr>
        <w:t xml:space="preserve">. Those may include return on investment, </w:t>
      </w:r>
      <w:r w:rsidR="00F06831" w:rsidRPr="00C22C47">
        <w:rPr>
          <w:color w:val="000000" w:themeColor="text1"/>
        </w:rPr>
        <w:t xml:space="preserve">payback period, or net present value, to name a few. Technical </w:t>
      </w:r>
      <w:r w:rsidR="5D647BE2" w:rsidRPr="00C22C47">
        <w:rPr>
          <w:color w:val="000000" w:themeColor="text1"/>
        </w:rPr>
        <w:t>metric</w:t>
      </w:r>
      <w:r w:rsidR="00F06831" w:rsidRPr="00C22C47">
        <w:rPr>
          <w:color w:val="000000" w:themeColor="text1"/>
        </w:rPr>
        <w:t xml:space="preserve">s like efficiency and reliability are also a concern as it </w:t>
      </w:r>
      <w:r w:rsidR="00D15559" w:rsidRPr="00C22C47">
        <w:rPr>
          <w:color w:val="000000" w:themeColor="text1"/>
        </w:rPr>
        <w:t xml:space="preserve">directly impacts project economics. Environmental </w:t>
      </w:r>
      <w:r w:rsidR="747A1801" w:rsidRPr="00C22C47">
        <w:rPr>
          <w:color w:val="000000" w:themeColor="text1"/>
        </w:rPr>
        <w:t xml:space="preserve">metrics </w:t>
      </w:r>
      <w:r w:rsidR="00D15559" w:rsidRPr="00C22C47">
        <w:rPr>
          <w:color w:val="000000" w:themeColor="text1"/>
        </w:rPr>
        <w:t xml:space="preserve">such as reduction in </w:t>
      </w:r>
      <w:r w:rsidRPr="00C22C47">
        <w:rPr>
          <w:color w:val="000000" w:themeColor="text1"/>
        </w:rPr>
        <w:t xml:space="preserve">Greenhouse gas (GHG) emissions are another key </w:t>
      </w:r>
      <w:r w:rsidR="513A29F0" w:rsidRPr="00C22C47">
        <w:rPr>
          <w:color w:val="000000" w:themeColor="text1"/>
        </w:rPr>
        <w:t>criterion</w:t>
      </w:r>
      <w:r w:rsidRPr="00C22C47">
        <w:rPr>
          <w:color w:val="000000" w:themeColor="text1"/>
        </w:rPr>
        <w:t xml:space="preserve"> being evaluated to ensure these projects’ impacts are helping to fight climate change. But what other metrics make a project sustainable? Is it a reduction in waste? Net increase in job creation for the local community? Sourcing critical minerals domestically? </w:t>
      </w:r>
      <w:r w:rsidR="02BF4EEF" w:rsidRPr="00C22C47">
        <w:rPr>
          <w:color w:val="000000" w:themeColor="text1"/>
        </w:rPr>
        <w:t xml:space="preserve">Efficiency of energy-intensive processes? </w:t>
      </w:r>
      <w:r w:rsidRPr="00C22C47">
        <w:rPr>
          <w:color w:val="000000" w:themeColor="text1"/>
        </w:rPr>
        <w:t xml:space="preserve">These topics are explored in this paper and a framework for </w:t>
      </w:r>
      <w:r w:rsidR="00C855E6" w:rsidRPr="00C22C47">
        <w:rPr>
          <w:color w:val="000000" w:themeColor="text1"/>
        </w:rPr>
        <w:t>considering</w:t>
      </w:r>
      <w:r w:rsidRPr="00C22C47">
        <w:rPr>
          <w:color w:val="000000" w:themeColor="text1"/>
        </w:rPr>
        <w:t xml:space="preserve"> what sustainability metrics</w:t>
      </w:r>
      <w:r w:rsidR="002B22FD" w:rsidRPr="00C22C47">
        <w:rPr>
          <w:color w:val="000000" w:themeColor="text1"/>
        </w:rPr>
        <w:t xml:space="preserve">, beyond typical </w:t>
      </w:r>
      <w:r w:rsidR="009305BB" w:rsidRPr="00C22C47">
        <w:rPr>
          <w:color w:val="000000" w:themeColor="text1"/>
        </w:rPr>
        <w:t>economic and technical metrics,</w:t>
      </w:r>
      <w:r w:rsidRPr="00C22C47">
        <w:rPr>
          <w:color w:val="000000" w:themeColor="text1"/>
        </w:rPr>
        <w:t xml:space="preserve"> should be applied to hydrogen infrastructure projects </w:t>
      </w:r>
      <w:r w:rsidR="009305BB" w:rsidRPr="00C22C47">
        <w:rPr>
          <w:color w:val="000000" w:themeColor="text1"/>
        </w:rPr>
        <w:t>to support long-term sustainable</w:t>
      </w:r>
      <w:r w:rsidR="00C855E6" w:rsidRPr="00C22C47">
        <w:rPr>
          <w:color w:val="000000" w:themeColor="text1"/>
        </w:rPr>
        <w:t xml:space="preserve"> clean energy investment </w:t>
      </w:r>
      <w:r w:rsidRPr="00C22C47">
        <w:rPr>
          <w:color w:val="000000" w:themeColor="text1"/>
        </w:rPr>
        <w:t>will be proposed</w:t>
      </w:r>
      <w:r w:rsidR="66BF4F1E" w:rsidRPr="00C22C47">
        <w:rPr>
          <w:color w:val="000000" w:themeColor="text1"/>
        </w:rPr>
        <w:t xml:space="preserve"> and discussed here</w:t>
      </w:r>
      <w:r w:rsidRPr="00C22C47">
        <w:rPr>
          <w:color w:val="000000" w:themeColor="text1"/>
        </w:rPr>
        <w:t>.</w:t>
      </w:r>
    </w:p>
    <w:p w14:paraId="693BE0AF" w14:textId="59E418F7" w:rsidR="00571DD1" w:rsidRPr="00C22C47" w:rsidRDefault="000F112B" w:rsidP="00F80D1B">
      <w:pPr>
        <w:pStyle w:val="Heading1"/>
      </w:pPr>
      <w:bookmarkStart w:id="1" w:name="_Toc146147227"/>
      <w:r w:rsidRPr="00C22C47">
        <w:t xml:space="preserve">Sustainability </w:t>
      </w:r>
      <w:r w:rsidR="604B0258" w:rsidRPr="00C22C47">
        <w:t>Overview</w:t>
      </w:r>
      <w:bookmarkEnd w:id="1"/>
    </w:p>
    <w:p w14:paraId="26AF86F9" w14:textId="09FA74ED" w:rsidR="007513CA" w:rsidRPr="00C22C47" w:rsidRDefault="007513CA" w:rsidP="00FB3C63">
      <w:pPr>
        <w:rPr>
          <w:color w:val="000000" w:themeColor="text1"/>
        </w:rPr>
      </w:pPr>
      <w:r w:rsidRPr="00C22C47">
        <w:rPr>
          <w:color w:val="000000" w:themeColor="text1"/>
        </w:rPr>
        <w:t>There are numerous certification entities today that furnish some form of sustainability certificates. These are used across a variety of applications such as residential or commercial buildings</w:t>
      </w:r>
      <w:r w:rsidR="10185BF0" w:rsidRPr="00C22C47">
        <w:rPr>
          <w:color w:val="000000" w:themeColor="text1"/>
        </w:rPr>
        <w:t>, communities,</w:t>
      </w:r>
      <w:r w:rsidRPr="00C22C47">
        <w:rPr>
          <w:color w:val="000000" w:themeColor="text1"/>
        </w:rPr>
        <w:t xml:space="preserve"> and construction methods. Notable certification entities include BREEAM, LEED, and Green Star to name a few. Their ratings systems help project developers design and construct buildings to meet a variety of sustainability </w:t>
      </w:r>
      <w:r w:rsidR="74554E1C" w:rsidRPr="00C22C47">
        <w:rPr>
          <w:color w:val="000000" w:themeColor="text1"/>
        </w:rPr>
        <w:t xml:space="preserve">metrics that fall under one of </w:t>
      </w:r>
      <w:r w:rsidR="112E60C7" w:rsidRPr="00C22C47">
        <w:rPr>
          <w:color w:val="000000" w:themeColor="text1"/>
        </w:rPr>
        <w:t xml:space="preserve">four </w:t>
      </w:r>
      <w:r w:rsidR="74554E1C" w:rsidRPr="00C22C47">
        <w:rPr>
          <w:color w:val="000000" w:themeColor="text1"/>
        </w:rPr>
        <w:t xml:space="preserve">broad objectives, namely: </w:t>
      </w:r>
      <w:r w:rsidR="2CDFEB24" w:rsidRPr="00C22C47">
        <w:rPr>
          <w:color w:val="000000" w:themeColor="text1"/>
        </w:rPr>
        <w:t>e</w:t>
      </w:r>
      <w:r w:rsidR="74554E1C" w:rsidRPr="00C22C47">
        <w:rPr>
          <w:color w:val="000000" w:themeColor="text1"/>
        </w:rPr>
        <w:t xml:space="preserve">conomic, </w:t>
      </w:r>
      <w:r w:rsidR="3B370C2E" w:rsidRPr="00C22C47">
        <w:rPr>
          <w:color w:val="000000" w:themeColor="text1"/>
        </w:rPr>
        <w:t>e</w:t>
      </w:r>
      <w:r w:rsidR="74554E1C" w:rsidRPr="00C22C47">
        <w:rPr>
          <w:color w:val="000000" w:themeColor="text1"/>
        </w:rPr>
        <w:t xml:space="preserve">nvironmental, </w:t>
      </w:r>
      <w:r w:rsidR="4257ED80" w:rsidRPr="00C22C47">
        <w:rPr>
          <w:color w:val="000000" w:themeColor="text1"/>
        </w:rPr>
        <w:t>t</w:t>
      </w:r>
      <w:r w:rsidR="33A0428C" w:rsidRPr="00C22C47">
        <w:rPr>
          <w:color w:val="000000" w:themeColor="text1"/>
        </w:rPr>
        <w:t xml:space="preserve">echnical, and </w:t>
      </w:r>
      <w:r w:rsidR="4811E139" w:rsidRPr="00C22C47">
        <w:rPr>
          <w:color w:val="000000" w:themeColor="text1"/>
        </w:rPr>
        <w:t>s</w:t>
      </w:r>
      <w:r w:rsidR="74554E1C" w:rsidRPr="00C22C47">
        <w:rPr>
          <w:color w:val="000000" w:themeColor="text1"/>
        </w:rPr>
        <w:t xml:space="preserve">ocial. Examples of metrics may include </w:t>
      </w:r>
      <w:r w:rsidRPr="00C22C47">
        <w:rPr>
          <w:color w:val="000000" w:themeColor="text1"/>
        </w:rPr>
        <w:t>reduction in carbon footprint or emissions, higher energy efficiency, lower or sustainable material usage, increas</w:t>
      </w:r>
      <w:r w:rsidR="303A091E" w:rsidRPr="00C22C47">
        <w:rPr>
          <w:color w:val="000000" w:themeColor="text1"/>
        </w:rPr>
        <w:t>ed</w:t>
      </w:r>
      <w:r w:rsidRPr="00C22C47">
        <w:rPr>
          <w:color w:val="000000" w:themeColor="text1"/>
        </w:rPr>
        <w:t xml:space="preserve"> biodiversity, increas</w:t>
      </w:r>
      <w:r w:rsidR="2731E3EF" w:rsidRPr="00C22C47">
        <w:rPr>
          <w:color w:val="000000" w:themeColor="text1"/>
        </w:rPr>
        <w:t>ed</w:t>
      </w:r>
      <w:r w:rsidRPr="00C22C47">
        <w:rPr>
          <w:color w:val="000000" w:themeColor="text1"/>
        </w:rPr>
        <w:t xml:space="preserve"> </w:t>
      </w:r>
      <w:r w:rsidR="00622529" w:rsidRPr="00C22C47">
        <w:rPr>
          <w:color w:val="000000" w:themeColor="text1"/>
        </w:rPr>
        <w:t>resilience</w:t>
      </w:r>
      <w:r w:rsidR="46274D9B" w:rsidRPr="00C22C47">
        <w:rPr>
          <w:color w:val="000000" w:themeColor="text1"/>
        </w:rPr>
        <w:t>/reliability</w:t>
      </w:r>
      <w:r w:rsidR="00622529" w:rsidRPr="00C22C47">
        <w:rPr>
          <w:color w:val="000000" w:themeColor="text1"/>
        </w:rPr>
        <w:t>,</w:t>
      </w:r>
      <w:r w:rsidRPr="00C22C47">
        <w:rPr>
          <w:color w:val="000000" w:themeColor="text1"/>
        </w:rPr>
        <w:t xml:space="preserve"> captur</w:t>
      </w:r>
      <w:r w:rsidR="0F8C7BB7" w:rsidRPr="00C22C47">
        <w:rPr>
          <w:color w:val="000000" w:themeColor="text1"/>
        </w:rPr>
        <w:t>ed</w:t>
      </w:r>
      <w:r w:rsidRPr="00C22C47">
        <w:rPr>
          <w:color w:val="000000" w:themeColor="text1"/>
        </w:rPr>
        <w:t xml:space="preserve"> benefits of a circular economy</w:t>
      </w:r>
      <w:r w:rsidR="53A7C0B5" w:rsidRPr="00C22C47">
        <w:rPr>
          <w:color w:val="000000" w:themeColor="text1"/>
        </w:rPr>
        <w:t>, job creation and training, inclusivity of marginalized communities, etc.</w:t>
      </w:r>
    </w:p>
    <w:p w14:paraId="2D8E10AD" w14:textId="2880C309" w:rsidR="000F112B" w:rsidRPr="00C22C47" w:rsidRDefault="6EDEEE4F" w:rsidP="00FB3C63">
      <w:pPr>
        <w:rPr>
          <w:color w:val="000000" w:themeColor="text1"/>
        </w:rPr>
      </w:pPr>
      <w:r w:rsidRPr="00C22C47">
        <w:rPr>
          <w:color w:val="000000" w:themeColor="text1"/>
        </w:rPr>
        <w:t>These objectives</w:t>
      </w:r>
      <w:r w:rsidR="45A9C458" w:rsidRPr="00C22C47">
        <w:rPr>
          <w:color w:val="000000" w:themeColor="text1"/>
        </w:rPr>
        <w:t xml:space="preserve"> all broadly apply in some form to the hydrogen economy. However, not all the metrics used for non-energy industries are applicable to </w:t>
      </w:r>
      <w:r w:rsidRPr="00C22C47">
        <w:rPr>
          <w:color w:val="000000" w:themeColor="text1"/>
        </w:rPr>
        <w:t>hydrogen infrastructure project</w:t>
      </w:r>
      <w:r w:rsidR="24FC36F1" w:rsidRPr="00C22C47">
        <w:rPr>
          <w:color w:val="000000" w:themeColor="text1"/>
        </w:rPr>
        <w:t>s.</w:t>
      </w:r>
      <w:r w:rsidRPr="00C22C47">
        <w:rPr>
          <w:color w:val="000000" w:themeColor="text1"/>
        </w:rPr>
        <w:t xml:space="preserve"> </w:t>
      </w:r>
      <w:r w:rsidR="4AF6F929" w:rsidRPr="00C22C47">
        <w:rPr>
          <w:color w:val="000000" w:themeColor="text1"/>
        </w:rPr>
        <w:t xml:space="preserve">Throughout the </w:t>
      </w:r>
      <w:r w:rsidR="50F18B18" w:rsidRPr="00C22C47">
        <w:rPr>
          <w:color w:val="000000" w:themeColor="text1"/>
        </w:rPr>
        <w:t>following</w:t>
      </w:r>
      <w:r w:rsidR="4AF6F929" w:rsidRPr="00C22C47">
        <w:rPr>
          <w:color w:val="000000" w:themeColor="text1"/>
        </w:rPr>
        <w:t xml:space="preserve"> sections </w:t>
      </w:r>
      <w:r w:rsidR="0572B710" w:rsidRPr="00C22C47">
        <w:rPr>
          <w:color w:val="000000" w:themeColor="text1"/>
        </w:rPr>
        <w:t xml:space="preserve">this paper will explore the metrics relevant to hydrogen projects from the literature and cross reference similar metrics used in practice by the energy </w:t>
      </w:r>
      <w:r w:rsidR="5CFBD429" w:rsidRPr="00C22C47">
        <w:rPr>
          <w:color w:val="000000" w:themeColor="text1"/>
        </w:rPr>
        <w:t>and non-ener</w:t>
      </w:r>
      <w:r w:rsidR="72C4BBBD" w:rsidRPr="00C22C47">
        <w:rPr>
          <w:color w:val="000000" w:themeColor="text1"/>
        </w:rPr>
        <w:t>g</w:t>
      </w:r>
      <w:r w:rsidR="5CFBD429" w:rsidRPr="00C22C47">
        <w:rPr>
          <w:color w:val="000000" w:themeColor="text1"/>
        </w:rPr>
        <w:t xml:space="preserve">y </w:t>
      </w:r>
      <w:r w:rsidR="0572B710" w:rsidRPr="00C22C47">
        <w:rPr>
          <w:color w:val="000000" w:themeColor="text1"/>
        </w:rPr>
        <w:t>industr</w:t>
      </w:r>
      <w:r w:rsidR="0EE67A32" w:rsidRPr="00C22C47">
        <w:rPr>
          <w:color w:val="000000" w:themeColor="text1"/>
        </w:rPr>
        <w:t>ies</w:t>
      </w:r>
      <w:r w:rsidR="0572B710" w:rsidRPr="00C22C47">
        <w:rPr>
          <w:color w:val="000000" w:themeColor="text1"/>
        </w:rPr>
        <w:t xml:space="preserve"> today</w:t>
      </w:r>
      <w:r w:rsidR="582F6A3D" w:rsidRPr="00C22C47">
        <w:rPr>
          <w:color w:val="000000" w:themeColor="text1"/>
        </w:rPr>
        <w:t xml:space="preserve"> to </w:t>
      </w:r>
      <w:r w:rsidR="1C7EFCFB" w:rsidRPr="00C22C47">
        <w:rPr>
          <w:color w:val="000000" w:themeColor="text1"/>
        </w:rPr>
        <w:t xml:space="preserve">ultimately </w:t>
      </w:r>
      <w:r w:rsidR="582F6A3D" w:rsidRPr="00C22C47">
        <w:rPr>
          <w:color w:val="000000" w:themeColor="text1"/>
        </w:rPr>
        <w:t>derive a list of metrics to be considered for measuring the sustainability of hydrogen infrastructure projects.</w:t>
      </w:r>
      <w:r w:rsidR="39DCE3AB" w:rsidRPr="00C22C47">
        <w:rPr>
          <w:color w:val="000000" w:themeColor="text1"/>
        </w:rPr>
        <w:t xml:space="preserve"> </w:t>
      </w:r>
      <w:r w:rsidR="233F1D11" w:rsidRPr="00C22C47">
        <w:rPr>
          <w:color w:val="000000" w:themeColor="text1"/>
        </w:rPr>
        <w:t xml:space="preserve">This paper also briefly examines some of the self-reported sustainability metrics often cited by industry to understand what is </w:t>
      </w:r>
      <w:r w:rsidR="0B3159E7" w:rsidRPr="00C22C47">
        <w:rPr>
          <w:color w:val="000000" w:themeColor="text1"/>
        </w:rPr>
        <w:t>self-reported</w:t>
      </w:r>
      <w:r w:rsidR="233F1D11" w:rsidRPr="00C22C47">
        <w:rPr>
          <w:color w:val="000000" w:themeColor="text1"/>
        </w:rPr>
        <w:t xml:space="preserve"> and why and</w:t>
      </w:r>
      <w:r w:rsidR="0F0FBB61" w:rsidRPr="00C22C47">
        <w:rPr>
          <w:color w:val="000000" w:themeColor="text1"/>
        </w:rPr>
        <w:t xml:space="preserve"> whether there is merit in adopting these metrics.</w:t>
      </w:r>
      <w:r w:rsidR="00A45A23" w:rsidRPr="00C22C47">
        <w:rPr>
          <w:color w:val="000000" w:themeColor="text1"/>
        </w:rPr>
        <w:t xml:space="preserve"> </w:t>
      </w:r>
    </w:p>
    <w:p w14:paraId="16AA0DD5" w14:textId="7FED318F" w:rsidR="002A508C" w:rsidRPr="00C22C47" w:rsidRDefault="000F112B" w:rsidP="00F80D1B">
      <w:pPr>
        <w:pStyle w:val="Heading2"/>
      </w:pPr>
      <w:bookmarkStart w:id="2" w:name="_Toc146147228"/>
      <w:r w:rsidRPr="00C22C47">
        <w:t>Sustainability Metrics Specific to Hydrogen Projects</w:t>
      </w:r>
      <w:r w:rsidR="577D78D6" w:rsidRPr="00C22C47">
        <w:t xml:space="preserve"> from Literature</w:t>
      </w:r>
      <w:bookmarkEnd w:id="2"/>
    </w:p>
    <w:p w14:paraId="269D9CA7" w14:textId="6066379E" w:rsidR="00642533" w:rsidRPr="00C22C47" w:rsidRDefault="006F1278" w:rsidP="00FB3C63">
      <w:pPr>
        <w:rPr>
          <w:color w:val="000000" w:themeColor="text1"/>
        </w:rPr>
      </w:pPr>
      <w:r w:rsidRPr="00C22C47">
        <w:rPr>
          <w:color w:val="000000" w:themeColor="text1"/>
        </w:rPr>
        <w:t xml:space="preserve">From </w:t>
      </w:r>
      <w:r w:rsidR="00CB7C5D" w:rsidRPr="00C22C47">
        <w:rPr>
          <w:color w:val="000000" w:themeColor="text1"/>
        </w:rPr>
        <w:t xml:space="preserve">the literature review, we found that far more studies on general energy sustainability metrics </w:t>
      </w:r>
      <w:r w:rsidR="00183828" w:rsidRPr="00C22C47">
        <w:rPr>
          <w:color w:val="000000" w:themeColor="text1"/>
        </w:rPr>
        <w:t>existed than for hydrogen specifically. Many of these</w:t>
      </w:r>
      <w:r w:rsidR="00D14191" w:rsidRPr="00C22C47">
        <w:rPr>
          <w:color w:val="000000" w:themeColor="text1"/>
        </w:rPr>
        <w:t xml:space="preserve"> are </w:t>
      </w:r>
      <w:r w:rsidR="00183828" w:rsidRPr="00C22C47">
        <w:rPr>
          <w:color w:val="000000" w:themeColor="text1"/>
        </w:rPr>
        <w:t xml:space="preserve">relevant to the research and we will </w:t>
      </w:r>
      <w:r w:rsidR="00642533" w:rsidRPr="00C22C47">
        <w:rPr>
          <w:color w:val="000000" w:themeColor="text1"/>
        </w:rPr>
        <w:t xml:space="preserve">explore them throughout this paper. </w:t>
      </w:r>
      <w:r w:rsidR="0048366A" w:rsidRPr="00C22C47">
        <w:rPr>
          <w:color w:val="000000" w:themeColor="text1"/>
        </w:rPr>
        <w:t xml:space="preserve">Hydrogen-specific sustainability papers, however, were very limited but </w:t>
      </w:r>
      <w:r w:rsidR="00AC336F" w:rsidRPr="00C22C47">
        <w:rPr>
          <w:color w:val="000000" w:themeColor="text1"/>
        </w:rPr>
        <w:t xml:space="preserve">the few that were collected will </w:t>
      </w:r>
      <w:r w:rsidR="0048366A" w:rsidRPr="00C22C47">
        <w:rPr>
          <w:color w:val="000000" w:themeColor="text1"/>
        </w:rPr>
        <w:t xml:space="preserve">serve as a </w:t>
      </w:r>
      <w:r w:rsidR="00A45A23" w:rsidRPr="00C22C47">
        <w:rPr>
          <w:color w:val="000000" w:themeColor="text1"/>
        </w:rPr>
        <w:t>starting point to think through how to frame sustainability metrics in a hydrogen context. In the following section we will first explore the metrics and methods used in literature.</w:t>
      </w:r>
    </w:p>
    <w:p w14:paraId="506A8F99" w14:textId="0D0D979E" w:rsidR="00AC7D6A" w:rsidRPr="00C22C47" w:rsidRDefault="00AC7D6A" w:rsidP="005F2F08">
      <w:pPr>
        <w:pStyle w:val="Heading3"/>
      </w:pPr>
      <w:bookmarkStart w:id="3" w:name="_Toc146147229"/>
      <w:r w:rsidRPr="00C22C47">
        <w:t>Overview of Hydrogen Sustainability Studies and Methods</w:t>
      </w:r>
      <w:bookmarkEnd w:id="3"/>
    </w:p>
    <w:p w14:paraId="2313BF98" w14:textId="311E011B" w:rsidR="00AC7D6A" w:rsidRPr="00C22C47" w:rsidRDefault="0023793D" w:rsidP="00FB3C63">
      <w:pPr>
        <w:rPr>
          <w:color w:val="000000" w:themeColor="text1"/>
        </w:rPr>
      </w:pPr>
      <w:r w:rsidRPr="00C22C47">
        <w:rPr>
          <w:color w:val="000000" w:themeColor="text1"/>
        </w:rPr>
        <w:t xml:space="preserve">In </w:t>
      </w:r>
      <w:r w:rsidR="00507BFE" w:rsidRPr="00C22C47">
        <w:rPr>
          <w:color w:val="000000" w:themeColor="text1"/>
        </w:rPr>
        <w:t>Acar et al. 2019</w:t>
      </w:r>
      <w:r w:rsidR="00AC7D6A" w:rsidRPr="00C22C47">
        <w:rPr>
          <w:color w:val="000000" w:themeColor="text1"/>
        </w:rPr>
        <w:t xml:space="preserve">, the proposed framework through which to assess sustainability of hydrogen systems was the “3S approach” </w:t>
      </w:r>
      <w:sdt>
        <w:sdtPr>
          <w:rPr>
            <w:color w:val="000000" w:themeColor="text1"/>
          </w:rPr>
          <w:id w:val="923304861"/>
          <w:placeholder>
            <w:docPart w:val="A6D62DA710504DC4BC32018AF4DFEFCA"/>
          </w:placeholder>
          <w:citation/>
        </w:sdtPr>
        <w:sdtContent>
          <w:r w:rsidR="00AC7D6A" w:rsidRPr="00C22C47">
            <w:rPr>
              <w:color w:val="000000" w:themeColor="text1"/>
            </w:rPr>
            <w:fldChar w:fldCharType="begin"/>
          </w:r>
          <w:r w:rsidR="00AC7D6A" w:rsidRPr="00C22C47">
            <w:rPr>
              <w:color w:val="000000" w:themeColor="text1"/>
            </w:rPr>
            <w:instrText xml:space="preserve"> CITATION Aca19 \l 1033 </w:instrText>
          </w:r>
          <w:r w:rsidR="00AC7D6A" w:rsidRPr="00C22C47">
            <w:rPr>
              <w:color w:val="000000" w:themeColor="text1"/>
            </w:rPr>
            <w:fldChar w:fldCharType="separate"/>
          </w:r>
          <w:r w:rsidR="00C03711" w:rsidRPr="00C22C47">
            <w:rPr>
              <w:noProof/>
              <w:color w:val="000000" w:themeColor="text1"/>
            </w:rPr>
            <w:t xml:space="preserve"> (Review and evaluation of hydrogen production options for better environment, 2019)</w:t>
          </w:r>
          <w:r w:rsidR="00AC7D6A" w:rsidRPr="00C22C47">
            <w:rPr>
              <w:color w:val="000000" w:themeColor="text1"/>
            </w:rPr>
            <w:fldChar w:fldCharType="end"/>
          </w:r>
        </w:sdtContent>
      </w:sdt>
      <w:r w:rsidR="00AC7D6A" w:rsidRPr="00C22C47">
        <w:rPr>
          <w:color w:val="000000" w:themeColor="text1"/>
        </w:rPr>
        <w:t xml:space="preserve">. Here the authors define the “3S’s” to be: Source, System, and Service. “Source” is defined as the input source used to generate hydrogen, “System” is the hydrogen system itself, whether that be production, storage, or delivery system and finally “Service” is the </w:t>
      </w:r>
      <w:r w:rsidR="09F98C95" w:rsidRPr="00C22C47">
        <w:rPr>
          <w:color w:val="000000" w:themeColor="text1"/>
        </w:rPr>
        <w:t>end-use</w:t>
      </w:r>
      <w:r w:rsidR="00AC7D6A" w:rsidRPr="00C22C47">
        <w:rPr>
          <w:color w:val="000000" w:themeColor="text1"/>
        </w:rPr>
        <w:t xml:space="preserve"> which hydrogen is servicing such as power, heating, cooling, etc. For each “S” category above, individual hydrogen systems are evaluated </w:t>
      </w:r>
      <w:r w:rsidR="004538F3" w:rsidRPr="00C22C47">
        <w:rPr>
          <w:color w:val="000000" w:themeColor="text1"/>
        </w:rPr>
        <w:t xml:space="preserve">and compared to one another </w:t>
      </w:r>
      <w:r w:rsidR="00AC7D6A" w:rsidRPr="00C22C47">
        <w:rPr>
          <w:color w:val="000000" w:themeColor="text1"/>
        </w:rPr>
        <w:t xml:space="preserve">on how sustainable they are by assessing metrics that fit under a broader umbrella of five comparative performance traits: Economic, Environmental, Social, Technical, and Reliability. </w:t>
      </w:r>
      <w:r w:rsidR="007432AF" w:rsidRPr="00C22C47">
        <w:rPr>
          <w:color w:val="000000" w:themeColor="text1"/>
        </w:rPr>
        <w:t xml:space="preserve">Below left is </w:t>
      </w:r>
      <w:r w:rsidR="77FD4D7D" w:rsidRPr="00C22C47">
        <w:rPr>
          <w:color w:val="000000" w:themeColor="text1"/>
        </w:rPr>
        <w:t xml:space="preserve">an overview of the </w:t>
      </w:r>
      <w:r w:rsidR="007432AF" w:rsidRPr="00C22C47">
        <w:rPr>
          <w:color w:val="000000" w:themeColor="text1"/>
        </w:rPr>
        <w:t xml:space="preserve">3S </w:t>
      </w:r>
      <w:r w:rsidR="4DB48D1D" w:rsidRPr="00C22C47">
        <w:rPr>
          <w:color w:val="000000" w:themeColor="text1"/>
        </w:rPr>
        <w:t xml:space="preserve">framework, </w:t>
      </w:r>
      <w:r w:rsidR="00726047" w:rsidRPr="00C22C47">
        <w:rPr>
          <w:color w:val="000000" w:themeColor="text1"/>
        </w:rPr>
        <w:t xml:space="preserve">while </w:t>
      </w:r>
      <w:r w:rsidR="39E1270E" w:rsidRPr="00C22C47">
        <w:rPr>
          <w:color w:val="000000" w:themeColor="text1"/>
        </w:rPr>
        <w:t xml:space="preserve">to the </w:t>
      </w:r>
      <w:r w:rsidR="00726047" w:rsidRPr="00C22C47">
        <w:rPr>
          <w:color w:val="000000" w:themeColor="text1"/>
        </w:rPr>
        <w:t>right are the overall objectives and metrics to be compared.</w:t>
      </w:r>
      <w:r w:rsidR="00B9508D" w:rsidRPr="00C22C47">
        <w:rPr>
          <w:color w:val="000000" w:themeColor="text1"/>
        </w:rPr>
        <w:t xml:space="preserve"> </w:t>
      </w:r>
    </w:p>
    <w:p w14:paraId="07676286" w14:textId="41180590" w:rsidR="00B13FD4" w:rsidRDefault="00677957" w:rsidP="00B13FD4">
      <w:pPr>
        <w:keepNext/>
      </w:pPr>
      <w:r>
        <w:rPr>
          <w:noProof/>
        </w:rPr>
        <w:drawing>
          <wp:inline distT="0" distB="0" distL="0" distR="0" wp14:anchorId="1AAC3831" wp14:editId="06777F75">
            <wp:extent cx="5943600" cy="2215726"/>
            <wp:effectExtent l="0" t="0" r="0" b="0"/>
            <wp:docPr id="1675524647" name="Picture 167552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15726"/>
                    </a:xfrm>
                    <a:prstGeom prst="rect">
                      <a:avLst/>
                    </a:prstGeom>
                    <a:noFill/>
                  </pic:spPr>
                </pic:pic>
              </a:graphicData>
            </a:graphic>
          </wp:inline>
        </w:drawing>
      </w:r>
    </w:p>
    <w:p w14:paraId="3193DCAC" w14:textId="5F953132" w:rsidR="004538F3" w:rsidRPr="00C22C47" w:rsidRDefault="00B13FD4" w:rsidP="00DB69F8">
      <w:pPr>
        <w:pStyle w:val="Subtitle"/>
        <w:rPr>
          <w:color w:val="000000" w:themeColor="text1"/>
        </w:rPr>
      </w:pPr>
      <w:r>
        <w:t xml:space="preserve">Figure </w:t>
      </w:r>
      <w:r w:rsidR="0076009A">
        <w:fldChar w:fldCharType="begin"/>
      </w:r>
      <w:r w:rsidR="0076009A">
        <w:instrText xml:space="preserve"> SEQ Figure \* ARABIC </w:instrText>
      </w:r>
      <w:r w:rsidR="0076009A">
        <w:fldChar w:fldCharType="separate"/>
      </w:r>
      <w:r w:rsidR="00DB69F8">
        <w:rPr>
          <w:noProof/>
        </w:rPr>
        <w:t>1</w:t>
      </w:r>
      <w:r w:rsidR="0076009A">
        <w:rPr>
          <w:noProof/>
        </w:rPr>
        <w:fldChar w:fldCharType="end"/>
      </w:r>
      <w:r>
        <w:t xml:space="preserve">. </w:t>
      </w:r>
      <w:r w:rsidRPr="00DB69F8">
        <w:rPr>
          <w:b w:val="0"/>
          <w:bCs w:val="0"/>
        </w:rPr>
        <w:t>3S approach to hydrogen energy system.</w:t>
      </w:r>
    </w:p>
    <w:p w14:paraId="64B72DBA" w14:textId="70FFF5FD" w:rsidR="005A62A7" w:rsidRPr="00C22C47" w:rsidRDefault="00AC7D6A" w:rsidP="00FB3C63">
      <w:pPr>
        <w:rPr>
          <w:color w:val="000000" w:themeColor="text1"/>
        </w:rPr>
      </w:pPr>
      <w:r w:rsidRPr="00C22C47">
        <w:rPr>
          <w:color w:val="000000" w:themeColor="text1"/>
        </w:rPr>
        <w:t>In two other papers, one by Acar et al.</w:t>
      </w:r>
      <w:r w:rsidR="1477F99F" w:rsidRPr="00C22C47">
        <w:rPr>
          <w:color w:val="000000" w:themeColor="text1"/>
        </w:rPr>
        <w:t xml:space="preserve">2018 </w:t>
      </w:r>
      <w:sdt>
        <w:sdtPr>
          <w:rPr>
            <w:color w:val="000000" w:themeColor="text1"/>
          </w:rPr>
          <w:id w:val="1916892882"/>
          <w:citation/>
        </w:sdtPr>
        <w:sdtContent>
          <w:r w:rsidRPr="00C22C47">
            <w:rPr>
              <w:color w:val="000000" w:themeColor="text1"/>
            </w:rPr>
            <w:fldChar w:fldCharType="begin"/>
          </w:r>
          <w:r w:rsidRPr="00C22C47">
            <w:rPr>
              <w:color w:val="000000" w:themeColor="text1"/>
            </w:rPr>
            <w:instrText xml:space="preserve"> CITATION Aca18 \l 1033 </w:instrText>
          </w:r>
          <w:r w:rsidRPr="00C22C47">
            <w:rPr>
              <w:color w:val="000000" w:themeColor="text1"/>
            </w:rPr>
            <w:fldChar w:fldCharType="separate"/>
          </w:r>
          <w:r w:rsidR="00C03711" w:rsidRPr="00C22C47">
            <w:rPr>
              <w:noProof/>
              <w:color w:val="000000" w:themeColor="text1"/>
            </w:rPr>
            <w:t xml:space="preserve"> (Sustinability analysis of different hydrogen production options using hesitant fuzzy AHP, 2018)</w:t>
          </w:r>
          <w:r w:rsidRPr="00C22C47">
            <w:rPr>
              <w:color w:val="000000" w:themeColor="text1"/>
            </w:rPr>
            <w:fldChar w:fldCharType="end"/>
          </w:r>
        </w:sdtContent>
      </w:sdt>
      <w:r w:rsidRPr="00C22C47">
        <w:rPr>
          <w:color w:val="000000" w:themeColor="text1"/>
        </w:rPr>
        <w:t xml:space="preserve"> and another by Xiang et al. </w:t>
      </w:r>
      <w:sdt>
        <w:sdtPr>
          <w:rPr>
            <w:color w:val="000000" w:themeColor="text1"/>
          </w:rPr>
          <w:id w:val="917136219"/>
          <w:citation/>
        </w:sdtPr>
        <w:sdtContent>
          <w:r w:rsidRPr="00C22C47">
            <w:rPr>
              <w:color w:val="000000" w:themeColor="text1"/>
            </w:rPr>
            <w:fldChar w:fldCharType="begin"/>
          </w:r>
          <w:r w:rsidRPr="00C22C47">
            <w:rPr>
              <w:color w:val="000000" w:themeColor="text1"/>
            </w:rPr>
            <w:instrText xml:space="preserve"> CITATION Xia21 \l 1033 </w:instrText>
          </w:r>
          <w:r w:rsidRPr="00C22C47">
            <w:rPr>
              <w:color w:val="000000" w:themeColor="text1"/>
            </w:rPr>
            <w:fldChar w:fldCharType="separate"/>
          </w:r>
          <w:r w:rsidR="00C03711" w:rsidRPr="00C22C47">
            <w:rPr>
              <w:noProof/>
              <w:color w:val="000000" w:themeColor="text1"/>
            </w:rPr>
            <w:t>(Integration and economic viability of fueling the future with green hydrogen: An integration of its determinants from renewable economics, 2021)</w:t>
          </w:r>
          <w:r w:rsidRPr="00C22C47">
            <w:rPr>
              <w:color w:val="000000" w:themeColor="text1"/>
            </w:rPr>
            <w:fldChar w:fldCharType="end"/>
          </w:r>
        </w:sdtContent>
      </w:sdt>
      <w:r w:rsidRPr="00C22C47">
        <w:rPr>
          <w:color w:val="000000" w:themeColor="text1"/>
        </w:rPr>
        <w:t xml:space="preserve"> , a methodology known as Analytical Hierarchical Process (AHP) was used</w:t>
      </w:r>
      <w:r w:rsidR="00572096" w:rsidRPr="00C22C47">
        <w:rPr>
          <w:color w:val="000000" w:themeColor="text1"/>
        </w:rPr>
        <w:t xml:space="preserve"> to assess sustainability of varying hydrogen production technologies</w:t>
      </w:r>
      <w:r w:rsidR="00E360E8" w:rsidRPr="00C22C47">
        <w:rPr>
          <w:color w:val="000000" w:themeColor="text1"/>
        </w:rPr>
        <w:t xml:space="preserve"> given </w:t>
      </w:r>
      <w:r w:rsidR="000F30B6" w:rsidRPr="00C22C47">
        <w:rPr>
          <w:color w:val="000000" w:themeColor="text1"/>
        </w:rPr>
        <w:t xml:space="preserve">four main objectives </w:t>
      </w:r>
      <w:r w:rsidR="00F410F8" w:rsidRPr="00C22C47">
        <w:rPr>
          <w:color w:val="000000" w:themeColor="text1"/>
        </w:rPr>
        <w:t>falling under economic, commercial, environmental, and social adoption</w:t>
      </w:r>
      <w:r w:rsidRPr="00C22C47">
        <w:rPr>
          <w:color w:val="000000" w:themeColor="text1"/>
        </w:rPr>
        <w:t xml:space="preserve">. The former </w:t>
      </w:r>
      <w:r w:rsidR="00F410F8" w:rsidRPr="00C22C47">
        <w:rPr>
          <w:color w:val="000000" w:themeColor="text1"/>
        </w:rPr>
        <w:t xml:space="preserve">study </w:t>
      </w:r>
      <w:r w:rsidRPr="00C22C47">
        <w:rPr>
          <w:color w:val="000000" w:themeColor="text1"/>
        </w:rPr>
        <w:t>utilized the hesitant fuzzy AHP while the latter utilized the fuzzy AHP. Both are extensions of the AHP methodology</w:t>
      </w:r>
      <w:r w:rsidR="00DA6351" w:rsidRPr="00C22C47">
        <w:rPr>
          <w:color w:val="000000" w:themeColor="text1"/>
        </w:rPr>
        <w:t>, which itself is a multiple-choice decision analysis (MCDA)</w:t>
      </w:r>
      <w:r w:rsidR="006363EE" w:rsidRPr="00C22C47">
        <w:rPr>
          <w:color w:val="000000" w:themeColor="text1"/>
        </w:rPr>
        <w:t>,</w:t>
      </w:r>
      <w:r w:rsidRPr="00C22C47">
        <w:rPr>
          <w:color w:val="000000" w:themeColor="text1"/>
        </w:rPr>
        <w:t xml:space="preserve"> but the former is used when there is a higher degree of ambiguity among subjective choice preferences, as </w:t>
      </w:r>
      <w:r w:rsidR="7847AB12" w:rsidRPr="00C22C47">
        <w:rPr>
          <w:color w:val="000000" w:themeColor="text1"/>
        </w:rPr>
        <w:t xml:space="preserve">is </w:t>
      </w:r>
      <w:r w:rsidRPr="00C22C47">
        <w:rPr>
          <w:color w:val="000000" w:themeColor="text1"/>
        </w:rPr>
        <w:t xml:space="preserve">often </w:t>
      </w:r>
      <w:r w:rsidR="5E447FE8" w:rsidRPr="00C22C47">
        <w:rPr>
          <w:color w:val="000000" w:themeColor="text1"/>
        </w:rPr>
        <w:t xml:space="preserve">the case </w:t>
      </w:r>
      <w:r w:rsidRPr="00C22C47">
        <w:rPr>
          <w:color w:val="000000" w:themeColor="text1"/>
        </w:rPr>
        <w:t>in ranking the importance of sustainability metrics.</w:t>
      </w:r>
      <w:r w:rsidR="00860DAA" w:rsidRPr="00C22C47">
        <w:rPr>
          <w:color w:val="000000" w:themeColor="text1"/>
        </w:rPr>
        <w:t xml:space="preserve"> While this method</w:t>
      </w:r>
      <w:r w:rsidRPr="00C22C47">
        <w:rPr>
          <w:color w:val="000000" w:themeColor="text1"/>
        </w:rPr>
        <w:t xml:space="preserve"> allows the decision makers to better express their assessments linguistically</w:t>
      </w:r>
      <w:r w:rsidR="00860DAA" w:rsidRPr="00C22C47">
        <w:rPr>
          <w:color w:val="000000" w:themeColor="text1"/>
        </w:rPr>
        <w:t xml:space="preserve">, </w:t>
      </w:r>
      <w:r w:rsidR="00F71FED" w:rsidRPr="00C22C47">
        <w:rPr>
          <w:color w:val="000000" w:themeColor="text1"/>
        </w:rPr>
        <w:t>its shortfall</w:t>
      </w:r>
      <w:r w:rsidR="00A22D93" w:rsidRPr="00C22C47">
        <w:rPr>
          <w:color w:val="000000" w:themeColor="text1"/>
        </w:rPr>
        <w:t xml:space="preserve"> is that subjectivity in the weighting of each sustainability metric </w:t>
      </w:r>
      <w:r w:rsidR="00F2171E" w:rsidRPr="00C22C47">
        <w:rPr>
          <w:color w:val="000000" w:themeColor="text1"/>
        </w:rPr>
        <w:t>persists as i</w:t>
      </w:r>
      <w:r w:rsidR="00846505" w:rsidRPr="00C22C47">
        <w:rPr>
          <w:color w:val="000000" w:themeColor="text1"/>
        </w:rPr>
        <w:t>t is the decision maker alone who decides the weighting of each metric.</w:t>
      </w:r>
      <w:r w:rsidR="005A62A7" w:rsidRPr="00C22C47">
        <w:rPr>
          <w:color w:val="000000" w:themeColor="text1"/>
        </w:rPr>
        <w:t xml:space="preserve"> T</w:t>
      </w:r>
      <w:r w:rsidR="00AD71F1" w:rsidRPr="00C22C47">
        <w:rPr>
          <w:color w:val="000000" w:themeColor="text1"/>
        </w:rPr>
        <w:t>h</w:t>
      </w:r>
      <w:r w:rsidR="005A62A7" w:rsidRPr="00C22C47">
        <w:rPr>
          <w:color w:val="000000" w:themeColor="text1"/>
        </w:rPr>
        <w:t>e</w:t>
      </w:r>
      <w:r w:rsidR="00AD71F1" w:rsidRPr="00C22C47">
        <w:rPr>
          <w:color w:val="000000" w:themeColor="text1"/>
        </w:rPr>
        <w:t xml:space="preserve"> five objectives and their metrics can be found below. </w:t>
      </w:r>
    </w:p>
    <w:p w14:paraId="663315BA" w14:textId="3E38F143" w:rsidR="00DB69F8" w:rsidRDefault="00F270BB" w:rsidP="00DB69F8">
      <w:pPr>
        <w:keepNext/>
        <w:jc w:val="center"/>
      </w:pPr>
      <w:r>
        <w:rPr>
          <w:noProof/>
        </w:rPr>
        <w:drawing>
          <wp:inline distT="0" distB="0" distL="0" distR="0" wp14:anchorId="4CA70EE5" wp14:editId="2ABDE195">
            <wp:extent cx="5943600" cy="3080998"/>
            <wp:effectExtent l="0" t="0" r="0" b="5715"/>
            <wp:docPr id="1138813650" name="Picture 113881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0998"/>
                    </a:xfrm>
                    <a:prstGeom prst="rect">
                      <a:avLst/>
                    </a:prstGeom>
                    <a:noFill/>
                  </pic:spPr>
                </pic:pic>
              </a:graphicData>
            </a:graphic>
          </wp:inline>
        </w:drawing>
      </w:r>
    </w:p>
    <w:p w14:paraId="54F1E77B" w14:textId="6FE41185" w:rsidR="00E47158" w:rsidRPr="00C22C47" w:rsidRDefault="00DB69F8" w:rsidP="00DB69F8">
      <w:pPr>
        <w:pStyle w:val="Subtitle"/>
        <w:rPr>
          <w:color w:val="000000" w:themeColor="text1"/>
        </w:rPr>
      </w:pPr>
      <w:r>
        <w:t xml:space="preserve">Figure </w:t>
      </w:r>
      <w:r w:rsidR="0076009A">
        <w:fldChar w:fldCharType="begin"/>
      </w:r>
      <w:r w:rsidR="0076009A">
        <w:instrText xml:space="preserve"> SEQ Figure \* ARABIC </w:instrText>
      </w:r>
      <w:r w:rsidR="0076009A">
        <w:fldChar w:fldCharType="separate"/>
      </w:r>
      <w:r>
        <w:rPr>
          <w:noProof/>
        </w:rPr>
        <w:t>2</w:t>
      </w:r>
      <w:r w:rsidR="0076009A">
        <w:rPr>
          <w:noProof/>
        </w:rPr>
        <w:fldChar w:fldCharType="end"/>
      </w:r>
      <w:r>
        <w:t xml:space="preserve">. </w:t>
      </w:r>
      <w:r w:rsidRPr="00DB69F8">
        <w:rPr>
          <w:b w:val="0"/>
          <w:bCs w:val="0"/>
        </w:rPr>
        <w:t>Sustainable hydrogen production criteria.</w:t>
      </w:r>
    </w:p>
    <w:p w14:paraId="47A9E9FC" w14:textId="32E9F893" w:rsidR="00AC7D6A" w:rsidRPr="00C22C47" w:rsidRDefault="0DE11CA8" w:rsidP="00E47158">
      <w:pPr>
        <w:rPr>
          <w:color w:val="000000" w:themeColor="text1"/>
        </w:rPr>
      </w:pPr>
      <w:commentRangeStart w:id="4"/>
      <w:r w:rsidRPr="00C22C47">
        <w:rPr>
          <w:color w:val="000000" w:themeColor="text1"/>
        </w:rPr>
        <w:t>With this method, w</w:t>
      </w:r>
      <w:r w:rsidR="00CA6A4F" w:rsidRPr="00C22C47">
        <w:rPr>
          <w:color w:val="000000" w:themeColor="text1"/>
        </w:rPr>
        <w:t xml:space="preserve">hat </w:t>
      </w:r>
      <w:r w:rsidR="008A77D7" w:rsidRPr="00C22C47">
        <w:rPr>
          <w:color w:val="000000" w:themeColor="text1"/>
        </w:rPr>
        <w:t>ul</w:t>
      </w:r>
      <w:r w:rsidR="008B4B8E" w:rsidRPr="00C22C47">
        <w:rPr>
          <w:color w:val="000000" w:themeColor="text1"/>
        </w:rPr>
        <w:t>timately</w:t>
      </w:r>
      <w:r w:rsidR="008A77D7" w:rsidRPr="00C22C47">
        <w:rPr>
          <w:color w:val="000000" w:themeColor="text1"/>
        </w:rPr>
        <w:t xml:space="preserve"> </w:t>
      </w:r>
      <w:r w:rsidR="3B26B9E9" w:rsidRPr="00C22C47">
        <w:rPr>
          <w:color w:val="000000" w:themeColor="text1"/>
        </w:rPr>
        <w:t xml:space="preserve">may provide better results </w:t>
      </w:r>
      <w:r w:rsidR="008A77D7" w:rsidRPr="00C22C47">
        <w:rPr>
          <w:color w:val="000000" w:themeColor="text1"/>
        </w:rPr>
        <w:t>is to decide how to equitably weight each metric</w:t>
      </w:r>
      <w:r w:rsidR="00AC7D6A" w:rsidRPr="00C22C47">
        <w:rPr>
          <w:color w:val="000000" w:themeColor="text1"/>
        </w:rPr>
        <w:t xml:space="preserve"> </w:t>
      </w:r>
      <w:r w:rsidR="008A77D7" w:rsidRPr="00C22C47">
        <w:rPr>
          <w:color w:val="000000" w:themeColor="text1"/>
        </w:rPr>
        <w:t>such that a hydrogen project’s sustainability is measured on its</w:t>
      </w:r>
      <w:r w:rsidR="6D70AA6E" w:rsidRPr="00C22C47">
        <w:rPr>
          <w:color w:val="000000" w:themeColor="text1"/>
        </w:rPr>
        <w:t xml:space="preserve"> net</w:t>
      </w:r>
      <w:r w:rsidR="008A77D7" w:rsidRPr="00C22C47">
        <w:rPr>
          <w:color w:val="000000" w:themeColor="text1"/>
        </w:rPr>
        <w:t xml:space="preserve"> impact </w:t>
      </w:r>
      <w:r w:rsidR="73377E5D" w:rsidRPr="00C22C47">
        <w:rPr>
          <w:color w:val="000000" w:themeColor="text1"/>
        </w:rPr>
        <w:t xml:space="preserve">to the </w:t>
      </w:r>
      <w:r w:rsidR="008A2AC9" w:rsidRPr="00C22C47">
        <w:rPr>
          <w:color w:val="000000" w:themeColor="text1"/>
        </w:rPr>
        <w:t>local environment and residents</w:t>
      </w:r>
      <w:r w:rsidR="4D03D510" w:rsidRPr="00C22C47">
        <w:rPr>
          <w:color w:val="000000" w:themeColor="text1"/>
        </w:rPr>
        <w:t xml:space="preserve">. The impact should be such that all metrics, when taken into consideration, </w:t>
      </w:r>
      <w:r w:rsidR="16FA644B" w:rsidRPr="00C22C47">
        <w:rPr>
          <w:color w:val="000000" w:themeColor="text1"/>
        </w:rPr>
        <w:t>r</w:t>
      </w:r>
      <w:r w:rsidR="4D03D510" w:rsidRPr="00C22C47">
        <w:rPr>
          <w:color w:val="000000" w:themeColor="text1"/>
        </w:rPr>
        <w:t>esult</w:t>
      </w:r>
      <w:r w:rsidR="345150A8" w:rsidRPr="00C22C47">
        <w:rPr>
          <w:color w:val="000000" w:themeColor="text1"/>
        </w:rPr>
        <w:t>s</w:t>
      </w:r>
      <w:r w:rsidR="4D03D510" w:rsidRPr="00C22C47">
        <w:rPr>
          <w:color w:val="000000" w:themeColor="text1"/>
        </w:rPr>
        <w:t xml:space="preserve"> in a net benefit to all stakeholders.</w:t>
      </w:r>
      <w:r w:rsidR="0359374B" w:rsidRPr="00C22C47">
        <w:rPr>
          <w:color w:val="000000" w:themeColor="text1"/>
        </w:rPr>
        <w:t xml:space="preserve"> </w:t>
      </w:r>
      <w:commentRangeEnd w:id="4"/>
      <w:r w:rsidR="00CA6A4F" w:rsidRPr="00C22C47">
        <w:rPr>
          <w:rStyle w:val="CommentReference"/>
          <w:color w:val="000000" w:themeColor="text1"/>
        </w:rPr>
        <w:commentReference w:id="4"/>
      </w:r>
    </w:p>
    <w:p w14:paraId="358156A1" w14:textId="2724AC04" w:rsidR="00C83434" w:rsidRPr="00C22C47" w:rsidRDefault="00B51DAA" w:rsidP="00FB3C63">
      <w:pPr>
        <w:rPr>
          <w:color w:val="000000" w:themeColor="text1"/>
        </w:rPr>
      </w:pPr>
      <w:r w:rsidRPr="00C22C47">
        <w:rPr>
          <w:color w:val="000000" w:themeColor="text1"/>
        </w:rPr>
        <w:t xml:space="preserve">In </w:t>
      </w:r>
      <w:proofErr w:type="spellStart"/>
      <w:r w:rsidR="00AC7D6A" w:rsidRPr="00C22C47">
        <w:rPr>
          <w:color w:val="000000" w:themeColor="text1"/>
        </w:rPr>
        <w:t>Hacatoglu</w:t>
      </w:r>
      <w:proofErr w:type="spellEnd"/>
      <w:r w:rsidR="00AC7D6A" w:rsidRPr="00C22C47">
        <w:rPr>
          <w:color w:val="000000" w:themeColor="text1"/>
        </w:rPr>
        <w:t xml:space="preserve"> et al.</w:t>
      </w:r>
      <w:r w:rsidR="00CE4934" w:rsidRPr="00C22C47">
        <w:rPr>
          <w:color w:val="000000" w:themeColor="text1"/>
        </w:rPr>
        <w:t xml:space="preserve"> 2016</w:t>
      </w:r>
      <w:r w:rsidR="00AC7D6A" w:rsidRPr="00C22C47">
        <w:rPr>
          <w:color w:val="000000" w:themeColor="text1"/>
        </w:rPr>
        <w:t xml:space="preserve">, </w:t>
      </w:r>
      <w:r w:rsidR="00276476" w:rsidRPr="00C22C47">
        <w:rPr>
          <w:color w:val="000000" w:themeColor="text1"/>
        </w:rPr>
        <w:t xml:space="preserve">a sustainability assessment was made comparing two competing systems. </w:t>
      </w:r>
      <w:r w:rsidR="00824B08" w:rsidRPr="00C22C47">
        <w:rPr>
          <w:color w:val="000000" w:themeColor="text1"/>
        </w:rPr>
        <w:t xml:space="preserve">The report measured the sustainability of a </w:t>
      </w:r>
      <w:r w:rsidR="00AC7D6A" w:rsidRPr="00C22C47">
        <w:rPr>
          <w:color w:val="000000" w:themeColor="text1"/>
        </w:rPr>
        <w:t>wind-hydrogen energy system</w:t>
      </w:r>
      <w:r w:rsidR="00824B08" w:rsidRPr="00C22C47">
        <w:rPr>
          <w:color w:val="000000" w:themeColor="text1"/>
        </w:rPr>
        <w:t xml:space="preserve"> and compared it to a conventional gas-fired system</w:t>
      </w:r>
      <w:r w:rsidR="0038288D" w:rsidRPr="00C22C47">
        <w:rPr>
          <w:color w:val="000000" w:themeColor="text1"/>
        </w:rPr>
        <w:t xml:space="preserve"> using a novel index which they labeled the Integrated Sustainability Index (ISI)</w:t>
      </w:r>
      <w:r w:rsidR="00D5109F" w:rsidRPr="00C22C47">
        <w:rPr>
          <w:color w:val="000000" w:themeColor="text1"/>
        </w:rPr>
        <w:t xml:space="preserve"> and was developed by the same author</w:t>
      </w:r>
      <w:r w:rsidR="00A177B5" w:rsidRPr="00C22C47">
        <w:rPr>
          <w:color w:val="000000" w:themeColor="text1"/>
        </w:rPr>
        <w:t xml:space="preserve"> a few years earlier</w:t>
      </w:r>
      <w:r w:rsidR="00C92293" w:rsidRPr="00C22C47">
        <w:rPr>
          <w:color w:val="000000" w:themeColor="text1"/>
        </w:rPr>
        <w:t xml:space="preserve"> </w:t>
      </w:r>
      <w:sdt>
        <w:sdtPr>
          <w:rPr>
            <w:color w:val="000000" w:themeColor="text1"/>
          </w:rPr>
          <w:id w:val="1576856038"/>
          <w:citation/>
        </w:sdtPr>
        <w:sdtContent>
          <w:r w:rsidR="00C92293" w:rsidRPr="00C22C47">
            <w:rPr>
              <w:color w:val="000000" w:themeColor="text1"/>
            </w:rPr>
            <w:fldChar w:fldCharType="begin"/>
          </w:r>
          <w:r w:rsidR="00C92293" w:rsidRPr="00C22C47">
            <w:rPr>
              <w:color w:val="000000" w:themeColor="text1"/>
            </w:rPr>
            <w:instrText xml:space="preserve"> CITATION Hac14 \l 1033 </w:instrText>
          </w:r>
          <w:r w:rsidR="00C92293" w:rsidRPr="00C22C47">
            <w:rPr>
              <w:color w:val="000000" w:themeColor="text1"/>
            </w:rPr>
            <w:fldChar w:fldCharType="separate"/>
          </w:r>
          <w:r w:rsidR="00C03711" w:rsidRPr="00C22C47">
            <w:rPr>
              <w:noProof/>
              <w:color w:val="000000" w:themeColor="text1"/>
            </w:rPr>
            <w:t>(Hacatoglu, 2014)</w:t>
          </w:r>
          <w:r w:rsidR="00C92293" w:rsidRPr="00C22C47">
            <w:rPr>
              <w:color w:val="000000" w:themeColor="text1"/>
            </w:rPr>
            <w:fldChar w:fldCharType="end"/>
          </w:r>
        </w:sdtContent>
      </w:sdt>
      <w:r w:rsidR="0038288D" w:rsidRPr="00C22C47">
        <w:rPr>
          <w:color w:val="000000" w:themeColor="text1"/>
        </w:rPr>
        <w:t xml:space="preserve">. </w:t>
      </w:r>
      <w:r w:rsidR="007503D5" w:rsidRPr="00C22C47">
        <w:rPr>
          <w:color w:val="000000" w:themeColor="text1"/>
        </w:rPr>
        <w:t>To further elaborate on the ISI</w:t>
      </w:r>
      <w:r w:rsidR="005339BF" w:rsidRPr="00C22C47">
        <w:rPr>
          <w:color w:val="000000" w:themeColor="text1"/>
        </w:rPr>
        <w:t xml:space="preserve">, it is an index that </w:t>
      </w:r>
      <w:r w:rsidR="00C03711" w:rsidRPr="00C22C47">
        <w:rPr>
          <w:color w:val="000000" w:themeColor="text1"/>
        </w:rPr>
        <w:t>“</w:t>
      </w:r>
      <w:r w:rsidR="005339BF" w:rsidRPr="00C22C47">
        <w:rPr>
          <w:color w:val="000000" w:themeColor="text1"/>
        </w:rPr>
        <w:t>incorporates fundamental thermodynamic, economic, and env</w:t>
      </w:r>
      <w:r w:rsidR="00C03711" w:rsidRPr="00C22C47">
        <w:rPr>
          <w:color w:val="000000" w:themeColor="text1"/>
        </w:rPr>
        <w:t>ironmental constraints to combine indicators form multiple dimensions into a single-score evaluation of sustainability”.</w:t>
      </w:r>
      <w:r w:rsidR="00CC3ACF" w:rsidRPr="00C22C47">
        <w:rPr>
          <w:color w:val="000000" w:themeColor="text1"/>
        </w:rPr>
        <w:t xml:space="preserve"> The bro</w:t>
      </w:r>
      <w:r w:rsidR="009542EC" w:rsidRPr="00C22C47">
        <w:rPr>
          <w:color w:val="000000" w:themeColor="text1"/>
        </w:rPr>
        <w:t xml:space="preserve">ad </w:t>
      </w:r>
      <w:r w:rsidR="00B05FF9" w:rsidRPr="00C22C47">
        <w:rPr>
          <w:color w:val="000000" w:themeColor="text1"/>
        </w:rPr>
        <w:t xml:space="preserve">six </w:t>
      </w:r>
      <w:r w:rsidR="009542EC" w:rsidRPr="00C22C47">
        <w:rPr>
          <w:color w:val="000000" w:themeColor="text1"/>
        </w:rPr>
        <w:t>categories</w:t>
      </w:r>
      <w:r w:rsidR="002F7277" w:rsidRPr="00C22C47">
        <w:rPr>
          <w:color w:val="000000" w:themeColor="text1"/>
        </w:rPr>
        <w:t xml:space="preserve"> </w:t>
      </w:r>
      <w:r w:rsidR="009542EC" w:rsidRPr="00C22C47">
        <w:rPr>
          <w:color w:val="000000" w:themeColor="text1"/>
        </w:rPr>
        <w:t xml:space="preserve">taken into account include </w:t>
      </w:r>
      <w:r w:rsidR="00B70457" w:rsidRPr="00C22C47">
        <w:rPr>
          <w:color w:val="000000" w:themeColor="text1"/>
        </w:rPr>
        <w:t>e</w:t>
      </w:r>
      <w:r w:rsidR="009542EC" w:rsidRPr="00C22C47">
        <w:rPr>
          <w:color w:val="000000" w:themeColor="text1"/>
        </w:rPr>
        <w:t xml:space="preserve">nergy </w:t>
      </w:r>
      <w:r w:rsidR="00B70457" w:rsidRPr="00C22C47">
        <w:rPr>
          <w:color w:val="000000" w:themeColor="text1"/>
        </w:rPr>
        <w:t>e</w:t>
      </w:r>
      <w:r w:rsidR="009542EC" w:rsidRPr="00C22C47">
        <w:rPr>
          <w:color w:val="000000" w:themeColor="text1"/>
        </w:rPr>
        <w:t xml:space="preserve">fficiency, </w:t>
      </w:r>
      <w:r w:rsidR="00B70457" w:rsidRPr="00C22C47">
        <w:rPr>
          <w:color w:val="000000" w:themeColor="text1"/>
        </w:rPr>
        <w:t>e</w:t>
      </w:r>
      <w:r w:rsidR="000C1C7E" w:rsidRPr="00C22C47">
        <w:rPr>
          <w:color w:val="000000" w:themeColor="text1"/>
        </w:rPr>
        <w:t xml:space="preserve">conomic </w:t>
      </w:r>
      <w:r w:rsidR="00B70457" w:rsidRPr="00C22C47">
        <w:rPr>
          <w:color w:val="000000" w:themeColor="text1"/>
        </w:rPr>
        <w:t>f</w:t>
      </w:r>
      <w:r w:rsidR="000C1C7E" w:rsidRPr="00C22C47">
        <w:rPr>
          <w:color w:val="000000" w:themeColor="text1"/>
        </w:rPr>
        <w:t>actor</w:t>
      </w:r>
      <w:r w:rsidR="00D33BD6" w:rsidRPr="00C22C47">
        <w:rPr>
          <w:color w:val="000000" w:themeColor="text1"/>
        </w:rPr>
        <w:t xml:space="preserve">, </w:t>
      </w:r>
      <w:r w:rsidR="00B70457" w:rsidRPr="00C22C47">
        <w:rPr>
          <w:color w:val="000000" w:themeColor="text1"/>
        </w:rPr>
        <w:t>s</w:t>
      </w:r>
      <w:r w:rsidR="00D33BD6" w:rsidRPr="00C22C47">
        <w:rPr>
          <w:color w:val="000000" w:themeColor="text1"/>
        </w:rPr>
        <w:t xml:space="preserve">ize </w:t>
      </w:r>
      <w:r w:rsidR="00B70457" w:rsidRPr="00C22C47">
        <w:rPr>
          <w:color w:val="000000" w:themeColor="text1"/>
        </w:rPr>
        <w:t>f</w:t>
      </w:r>
      <w:r w:rsidR="00D33BD6" w:rsidRPr="00C22C47">
        <w:rPr>
          <w:color w:val="000000" w:themeColor="text1"/>
        </w:rPr>
        <w:t xml:space="preserve">actor, </w:t>
      </w:r>
      <w:r w:rsidR="00B70457" w:rsidRPr="00C22C47">
        <w:rPr>
          <w:color w:val="000000" w:themeColor="text1"/>
        </w:rPr>
        <w:t>g</w:t>
      </w:r>
      <w:r w:rsidR="00D33BD6" w:rsidRPr="00C22C47">
        <w:rPr>
          <w:color w:val="000000" w:themeColor="text1"/>
        </w:rPr>
        <w:t xml:space="preserve">lobal environmental impact potential, </w:t>
      </w:r>
      <w:r w:rsidR="002277EA" w:rsidRPr="00C22C47">
        <w:rPr>
          <w:color w:val="000000" w:themeColor="text1"/>
        </w:rPr>
        <w:t>a</w:t>
      </w:r>
      <w:r w:rsidR="00D33BD6" w:rsidRPr="00C22C47">
        <w:rPr>
          <w:color w:val="000000" w:themeColor="text1"/>
        </w:rPr>
        <w:t xml:space="preserve">ir </w:t>
      </w:r>
      <w:r w:rsidR="002277EA" w:rsidRPr="00C22C47">
        <w:rPr>
          <w:color w:val="000000" w:themeColor="text1"/>
        </w:rPr>
        <w:t>p</w:t>
      </w:r>
      <w:r w:rsidR="00D33BD6" w:rsidRPr="00C22C47">
        <w:rPr>
          <w:color w:val="000000" w:themeColor="text1"/>
        </w:rPr>
        <w:t xml:space="preserve">ollution </w:t>
      </w:r>
      <w:r w:rsidR="002277EA" w:rsidRPr="00C22C47">
        <w:rPr>
          <w:color w:val="000000" w:themeColor="text1"/>
        </w:rPr>
        <w:t xml:space="preserve">potential, </w:t>
      </w:r>
      <w:r w:rsidR="00B05FF9" w:rsidRPr="00C22C47">
        <w:rPr>
          <w:color w:val="000000" w:themeColor="text1"/>
        </w:rPr>
        <w:t xml:space="preserve">and </w:t>
      </w:r>
      <w:r w:rsidR="002277EA" w:rsidRPr="00C22C47">
        <w:rPr>
          <w:color w:val="000000" w:themeColor="text1"/>
        </w:rPr>
        <w:t xml:space="preserve">water pollution potential. </w:t>
      </w:r>
      <w:r w:rsidR="00A65B48" w:rsidRPr="00C22C47">
        <w:rPr>
          <w:color w:val="000000" w:themeColor="text1"/>
        </w:rPr>
        <w:t xml:space="preserve">These categories are then broken down further into 20 unique metrics, but not all equally weighted meaning some </w:t>
      </w:r>
      <w:r w:rsidR="000976D9" w:rsidRPr="00C22C47">
        <w:rPr>
          <w:color w:val="000000" w:themeColor="text1"/>
        </w:rPr>
        <w:t xml:space="preserve">are more important to decision makers than others. </w:t>
      </w:r>
    </w:p>
    <w:p w14:paraId="7C7E283A" w14:textId="605AAED5" w:rsidR="00B01D58" w:rsidRDefault="00B01D58" w:rsidP="00E30EB3">
      <w:pPr>
        <w:pStyle w:val="Subtitle"/>
        <w:spacing w:after="0"/>
      </w:pPr>
      <w:r>
        <w:t xml:space="preserve">Table </w:t>
      </w:r>
      <w:r w:rsidR="0076009A">
        <w:fldChar w:fldCharType="begin"/>
      </w:r>
      <w:r w:rsidR="0076009A">
        <w:instrText xml:space="preserve"> SEQ Table \* ARABIC </w:instrText>
      </w:r>
      <w:r w:rsidR="0076009A">
        <w:fldChar w:fldCharType="separate"/>
      </w:r>
      <w:r>
        <w:rPr>
          <w:noProof/>
        </w:rPr>
        <w:t>1</w:t>
      </w:r>
      <w:r w:rsidR="0076009A">
        <w:rPr>
          <w:noProof/>
        </w:rPr>
        <w:fldChar w:fldCharType="end"/>
      </w:r>
      <w:r>
        <w:t xml:space="preserve">. </w:t>
      </w:r>
      <w:r w:rsidRPr="00B01D58">
        <w:rPr>
          <w:b w:val="0"/>
          <w:bCs w:val="0"/>
        </w:rPr>
        <w:t xml:space="preserve">Categories and sub-indicators for the </w:t>
      </w:r>
      <w:commentRangeStart w:id="5"/>
      <w:commentRangeStart w:id="6"/>
      <w:r w:rsidRPr="00B01D58">
        <w:rPr>
          <w:b w:val="0"/>
          <w:bCs w:val="0"/>
        </w:rPr>
        <w:t>sustainability assessment methodology.</w:t>
      </w:r>
      <w:commentRangeEnd w:id="5"/>
      <w:r w:rsidR="004E25EA">
        <w:rPr>
          <w:rStyle w:val="CommentReference"/>
          <w:b w:val="0"/>
          <w:bCs w:val="0"/>
        </w:rPr>
        <w:commentReference w:id="5"/>
      </w:r>
      <w:commentRangeEnd w:id="6"/>
      <w:r w:rsidR="00921582">
        <w:rPr>
          <w:rStyle w:val="CommentReference"/>
          <w:b w:val="0"/>
          <w:bCs w:val="0"/>
        </w:rPr>
        <w:commentReference w:id="6"/>
      </w:r>
    </w:p>
    <w:p w14:paraId="0C171F18" w14:textId="19FF831B" w:rsidR="00A06FB3" w:rsidRDefault="00BC468E" w:rsidP="00E30EB3">
      <w:pPr>
        <w:spacing w:before="0"/>
      </w:pPr>
      <w:r w:rsidRPr="00C22C47">
        <w:rPr>
          <w:noProof/>
          <w:color w:val="000000" w:themeColor="text1"/>
        </w:rPr>
        <w:drawing>
          <wp:inline distT="0" distB="0" distL="0" distR="0" wp14:anchorId="7B6D1C44" wp14:editId="434FA375">
            <wp:extent cx="5943600" cy="2845435"/>
            <wp:effectExtent l="0" t="0" r="0" b="0"/>
            <wp:docPr id="1831814267" name="Picture 18318142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14267" name="Picture 1" descr="Graphical user interface, text&#10;&#10;Description automatically generated"/>
                    <pic:cNvPicPr/>
                  </pic:nvPicPr>
                  <pic:blipFill>
                    <a:blip r:embed="rId17"/>
                    <a:stretch>
                      <a:fillRect/>
                    </a:stretch>
                  </pic:blipFill>
                  <pic:spPr>
                    <a:xfrm>
                      <a:off x="0" y="0"/>
                      <a:ext cx="5943600" cy="2845435"/>
                    </a:xfrm>
                    <a:prstGeom prst="rect">
                      <a:avLst/>
                    </a:prstGeom>
                  </pic:spPr>
                </pic:pic>
              </a:graphicData>
            </a:graphic>
          </wp:inline>
        </w:drawing>
      </w:r>
    </w:p>
    <w:p w14:paraId="529E64E3" w14:textId="2CBD7B0B" w:rsidR="0061780E" w:rsidRDefault="0061780E" w:rsidP="00E30EB3">
      <w:pPr>
        <w:pStyle w:val="Subtitle"/>
        <w:spacing w:before="0"/>
      </w:pPr>
      <w:bookmarkStart w:id="7" w:name="_Ref146096351"/>
      <w:r w:rsidRPr="0061780E">
        <w:rPr>
          <w:noProof/>
        </w:rPr>
        <w:drawing>
          <wp:inline distT="0" distB="0" distL="0" distR="0" wp14:anchorId="4672FF98" wp14:editId="000552F2">
            <wp:extent cx="5943600" cy="2864768"/>
            <wp:effectExtent l="0" t="0" r="0" b="0"/>
            <wp:docPr id="787049222" name="Picture 78704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b="6421"/>
                    <a:stretch/>
                  </pic:blipFill>
                  <pic:spPr bwMode="auto">
                    <a:xfrm>
                      <a:off x="0" y="0"/>
                      <a:ext cx="5943600" cy="2864768"/>
                    </a:xfrm>
                    <a:prstGeom prst="rect">
                      <a:avLst/>
                    </a:prstGeom>
                    <a:noFill/>
                    <a:ln>
                      <a:noFill/>
                    </a:ln>
                    <a:extLst>
                      <a:ext uri="{53640926-AAD7-44D8-BBD7-CCE9431645EC}">
                        <a14:shadowObscured xmlns:a14="http://schemas.microsoft.com/office/drawing/2010/main"/>
                      </a:ext>
                    </a:extLst>
                  </pic:spPr>
                </pic:pic>
              </a:graphicData>
            </a:graphic>
          </wp:inline>
        </w:drawing>
      </w:r>
    </w:p>
    <w:p w14:paraId="6E1087ED" w14:textId="2616C55E" w:rsidR="00A06FB3" w:rsidRPr="00CB1515" w:rsidRDefault="00A06FB3" w:rsidP="00E30EB3">
      <w:pPr>
        <w:pStyle w:val="Subtitle"/>
        <w:spacing w:before="0"/>
        <w:rPr>
          <w:b w:val="0"/>
          <w:bCs w:val="0"/>
        </w:rPr>
      </w:pPr>
      <w:r w:rsidRPr="00E30EB3">
        <w:t xml:space="preserve">Figure </w:t>
      </w:r>
      <w:r w:rsidR="0076009A">
        <w:fldChar w:fldCharType="begin"/>
      </w:r>
      <w:r w:rsidR="0076009A">
        <w:instrText xml:space="preserve"> SEQ Figure \* ARABIC </w:instrText>
      </w:r>
      <w:r w:rsidR="0076009A">
        <w:fldChar w:fldCharType="separate"/>
      </w:r>
      <w:r>
        <w:t>3</w:t>
      </w:r>
      <w:r w:rsidR="0076009A">
        <w:fldChar w:fldCharType="end"/>
      </w:r>
      <w:bookmarkEnd w:id="7"/>
      <w:r w:rsidRPr="00E30EB3">
        <w:t>.</w:t>
      </w:r>
      <w:r w:rsidRPr="00CB1515">
        <w:rPr>
          <w:b w:val="0"/>
          <w:bCs w:val="0"/>
        </w:rPr>
        <w:t xml:space="preserve"> Sustainability metric literature review for hydrogen industry.</w:t>
      </w:r>
    </w:p>
    <w:p w14:paraId="09C9DDB4" w14:textId="2565DCC9" w:rsidR="00AC7D6A" w:rsidRDefault="00477220" w:rsidP="00FB3C63">
      <w:pPr>
        <w:rPr>
          <w:color w:val="000000" w:themeColor="text1"/>
        </w:rPr>
      </w:pPr>
      <w:r w:rsidRPr="00C22C47">
        <w:rPr>
          <w:color w:val="000000" w:themeColor="text1"/>
        </w:rPr>
        <w:t>The ISI can also be measured from</w:t>
      </w:r>
      <w:r w:rsidR="00AC7D6A" w:rsidRPr="00C22C47">
        <w:rPr>
          <w:color w:val="000000" w:themeColor="text1"/>
        </w:rPr>
        <w:t xml:space="preserve"> three different perspectives: </w:t>
      </w:r>
      <w:r w:rsidR="00CC3ACF" w:rsidRPr="00C22C47">
        <w:rPr>
          <w:color w:val="000000" w:themeColor="text1"/>
        </w:rPr>
        <w:t xml:space="preserve">the </w:t>
      </w:r>
      <w:r w:rsidR="00AC7D6A" w:rsidRPr="00C22C47">
        <w:rPr>
          <w:color w:val="000000" w:themeColor="text1"/>
        </w:rPr>
        <w:t xml:space="preserve">Individualist, Egalitarian, and Hierarchical. </w:t>
      </w:r>
      <w:r w:rsidR="00F604AF" w:rsidRPr="00C22C47">
        <w:rPr>
          <w:color w:val="000000" w:themeColor="text1"/>
        </w:rPr>
        <w:t xml:space="preserve">The </w:t>
      </w:r>
      <w:r w:rsidR="00AC7D6A" w:rsidRPr="00C22C47">
        <w:rPr>
          <w:color w:val="000000" w:themeColor="text1"/>
        </w:rPr>
        <w:t>three perspectives help bring a broader perspective to sustainability, taking into account time and space as additional measures. The table below summarizes these perspectives: (e.g. Archetypes) and their unique considerations</w:t>
      </w:r>
      <w:sdt>
        <w:sdtPr>
          <w:rPr>
            <w:color w:val="000000" w:themeColor="text1"/>
          </w:rPr>
          <w:id w:val="-298847506"/>
          <w:citation/>
        </w:sdtPr>
        <w:sdtContent>
          <w:r w:rsidR="00AC7D6A" w:rsidRPr="00C22C47">
            <w:rPr>
              <w:color w:val="000000" w:themeColor="text1"/>
            </w:rPr>
            <w:fldChar w:fldCharType="begin"/>
          </w:r>
          <w:r w:rsidR="00AC7D6A" w:rsidRPr="00C22C47">
            <w:rPr>
              <w:color w:val="000000" w:themeColor="text1"/>
            </w:rPr>
            <w:instrText xml:space="preserve"> CITATION Hac14 \l 1033 </w:instrText>
          </w:r>
          <w:r w:rsidR="00AC7D6A" w:rsidRPr="00C22C47">
            <w:rPr>
              <w:color w:val="000000" w:themeColor="text1"/>
            </w:rPr>
            <w:fldChar w:fldCharType="separate"/>
          </w:r>
          <w:r w:rsidR="00C03711" w:rsidRPr="00C22C47">
            <w:rPr>
              <w:noProof/>
              <w:color w:val="000000" w:themeColor="text1"/>
            </w:rPr>
            <w:t xml:space="preserve"> (Hacatoglu, 2014)</w:t>
          </w:r>
          <w:r w:rsidR="00AC7D6A" w:rsidRPr="00C22C47">
            <w:rPr>
              <w:color w:val="000000" w:themeColor="text1"/>
            </w:rPr>
            <w:fldChar w:fldCharType="end"/>
          </w:r>
        </w:sdtContent>
      </w:sdt>
      <w:r w:rsidR="00AC7D6A" w:rsidRPr="00C22C47">
        <w:rPr>
          <w:color w:val="000000" w:themeColor="text1"/>
        </w:rPr>
        <w:t>.</w:t>
      </w:r>
    </w:p>
    <w:p w14:paraId="6C6F3CA2" w14:textId="77777777" w:rsidR="008C72AF" w:rsidRPr="00C22C47" w:rsidRDefault="008C72AF" w:rsidP="00FB3C63">
      <w:pPr>
        <w:rPr>
          <w:color w:val="000000" w:themeColor="text1"/>
        </w:rPr>
      </w:pPr>
    </w:p>
    <w:p w14:paraId="4280A6FC" w14:textId="0E90E0CD" w:rsidR="00E47158" w:rsidRPr="00C22C47" w:rsidRDefault="00E47158" w:rsidP="00E47158">
      <w:pPr>
        <w:pStyle w:val="Subtitle"/>
        <w:rPr>
          <w:color w:val="000000" w:themeColor="text1"/>
        </w:rPr>
      </w:pPr>
      <w:r w:rsidRPr="00C22C47">
        <w:rPr>
          <w:color w:val="000000" w:themeColor="text1"/>
        </w:rPr>
        <w:t xml:space="preserve">Table </w:t>
      </w:r>
      <w:r w:rsidR="00920C73" w:rsidRPr="00C22C47">
        <w:rPr>
          <w:color w:val="000000" w:themeColor="text1"/>
        </w:rPr>
        <w:fldChar w:fldCharType="begin"/>
      </w:r>
      <w:r w:rsidR="00920C73" w:rsidRPr="00C22C47">
        <w:rPr>
          <w:color w:val="000000" w:themeColor="text1"/>
        </w:rPr>
        <w:instrText xml:space="preserve"> SEQ Table \* ARABIC </w:instrText>
      </w:r>
      <w:r w:rsidR="00920C73" w:rsidRPr="00C22C47">
        <w:rPr>
          <w:color w:val="000000" w:themeColor="text1"/>
        </w:rPr>
        <w:fldChar w:fldCharType="separate"/>
      </w:r>
      <w:r w:rsidR="00B01D58">
        <w:rPr>
          <w:noProof/>
          <w:color w:val="000000" w:themeColor="text1"/>
        </w:rPr>
        <w:t>2</w:t>
      </w:r>
      <w:r w:rsidR="00920C73" w:rsidRPr="00C22C47">
        <w:rPr>
          <w:noProof/>
          <w:color w:val="000000" w:themeColor="text1"/>
        </w:rPr>
        <w:fldChar w:fldCharType="end"/>
      </w:r>
      <w:r w:rsidR="0032522A">
        <w:rPr>
          <w:noProof/>
          <w:color w:val="000000" w:themeColor="text1"/>
        </w:rPr>
        <w:t xml:space="preserve">. Different perspectives </w:t>
      </w:r>
      <w:r w:rsidR="00EA2D8D">
        <w:rPr>
          <w:noProof/>
          <w:color w:val="000000" w:themeColor="text1"/>
        </w:rPr>
        <w:t xml:space="preserve">for a broader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C22C47" w:rsidRPr="00C22C47" w14:paraId="1759D224" w14:textId="77777777" w:rsidTr="00E30EB3">
        <w:trPr>
          <w:trHeight w:val="302"/>
          <w:tblHeader/>
          <w:jc w:val="center"/>
        </w:trPr>
        <w:tc>
          <w:tcPr>
            <w:tcW w:w="2337" w:type="dxa"/>
            <w:tcBorders>
              <w:top w:val="single" w:sz="4" w:space="0" w:color="auto"/>
              <w:bottom w:val="nil"/>
              <w:right w:val="single" w:sz="4" w:space="0" w:color="auto"/>
            </w:tcBorders>
            <w:vAlign w:val="center"/>
          </w:tcPr>
          <w:p w14:paraId="204B0155" w14:textId="77777777" w:rsidR="00AC7D6A" w:rsidRPr="00C22C47" w:rsidRDefault="00AC7D6A" w:rsidP="00E47158">
            <w:pPr>
              <w:spacing w:before="0"/>
              <w:jc w:val="center"/>
              <w:rPr>
                <w:b/>
                <w:bCs/>
                <w:color w:val="000000" w:themeColor="text1"/>
              </w:rPr>
            </w:pPr>
            <w:r w:rsidRPr="00C22C47">
              <w:rPr>
                <w:b/>
                <w:bCs/>
                <w:color w:val="000000" w:themeColor="text1"/>
              </w:rPr>
              <w:t>Archetype</w:t>
            </w:r>
          </w:p>
        </w:tc>
        <w:tc>
          <w:tcPr>
            <w:tcW w:w="2337" w:type="dxa"/>
            <w:tcBorders>
              <w:left w:val="single" w:sz="4" w:space="0" w:color="auto"/>
            </w:tcBorders>
            <w:vAlign w:val="center"/>
          </w:tcPr>
          <w:p w14:paraId="787EE388" w14:textId="77777777" w:rsidR="00AC7D6A" w:rsidRPr="00C22C47" w:rsidRDefault="00AC7D6A" w:rsidP="00E47158">
            <w:pPr>
              <w:spacing w:before="0"/>
              <w:jc w:val="center"/>
              <w:rPr>
                <w:color w:val="000000" w:themeColor="text1"/>
              </w:rPr>
            </w:pPr>
            <w:r w:rsidRPr="00C22C47">
              <w:rPr>
                <w:color w:val="000000" w:themeColor="text1"/>
              </w:rPr>
              <w:t>Time</w:t>
            </w:r>
          </w:p>
        </w:tc>
        <w:tc>
          <w:tcPr>
            <w:tcW w:w="2338" w:type="dxa"/>
            <w:vAlign w:val="center"/>
          </w:tcPr>
          <w:p w14:paraId="36EBC773" w14:textId="77777777" w:rsidR="00AC7D6A" w:rsidRPr="00C22C47" w:rsidRDefault="00AC7D6A" w:rsidP="00E47158">
            <w:pPr>
              <w:spacing w:before="0"/>
              <w:jc w:val="center"/>
              <w:rPr>
                <w:color w:val="000000" w:themeColor="text1"/>
              </w:rPr>
            </w:pPr>
            <w:r w:rsidRPr="00C22C47">
              <w:rPr>
                <w:color w:val="000000" w:themeColor="text1"/>
              </w:rPr>
              <w:t>Space</w:t>
            </w:r>
          </w:p>
        </w:tc>
        <w:tc>
          <w:tcPr>
            <w:tcW w:w="2338" w:type="dxa"/>
            <w:vAlign w:val="center"/>
          </w:tcPr>
          <w:p w14:paraId="0E4F681D" w14:textId="77777777" w:rsidR="00AC7D6A" w:rsidRPr="00C22C47" w:rsidRDefault="00AC7D6A" w:rsidP="00E47158">
            <w:pPr>
              <w:spacing w:before="0"/>
              <w:jc w:val="center"/>
              <w:rPr>
                <w:color w:val="000000" w:themeColor="text1"/>
              </w:rPr>
            </w:pPr>
            <w:r w:rsidRPr="00C22C47">
              <w:rPr>
                <w:color w:val="000000" w:themeColor="text1"/>
              </w:rPr>
              <w:t>Receptor</w:t>
            </w:r>
          </w:p>
        </w:tc>
      </w:tr>
      <w:tr w:rsidR="00C22C47" w:rsidRPr="00C22C47" w14:paraId="3E47C6FE" w14:textId="77777777" w:rsidTr="00E47158">
        <w:trPr>
          <w:trHeight w:val="302"/>
          <w:jc w:val="center"/>
        </w:trPr>
        <w:tc>
          <w:tcPr>
            <w:tcW w:w="2337" w:type="dxa"/>
            <w:tcBorders>
              <w:top w:val="nil"/>
              <w:bottom w:val="nil"/>
              <w:right w:val="single" w:sz="4" w:space="0" w:color="auto"/>
            </w:tcBorders>
            <w:vAlign w:val="center"/>
          </w:tcPr>
          <w:p w14:paraId="6BDF6BFE" w14:textId="77777777" w:rsidR="00AC7D6A" w:rsidRPr="00C22C47" w:rsidRDefault="00AC7D6A" w:rsidP="00E47158">
            <w:pPr>
              <w:spacing w:before="0"/>
              <w:jc w:val="center"/>
              <w:rPr>
                <w:b/>
                <w:bCs/>
                <w:color w:val="000000" w:themeColor="text1"/>
              </w:rPr>
            </w:pPr>
            <w:r w:rsidRPr="00C22C47">
              <w:rPr>
                <w:b/>
                <w:bCs/>
                <w:color w:val="000000" w:themeColor="text1"/>
              </w:rPr>
              <w:t>Individualist</w:t>
            </w:r>
          </w:p>
        </w:tc>
        <w:tc>
          <w:tcPr>
            <w:tcW w:w="2337" w:type="dxa"/>
            <w:tcBorders>
              <w:left w:val="single" w:sz="4" w:space="0" w:color="auto"/>
            </w:tcBorders>
            <w:vAlign w:val="center"/>
          </w:tcPr>
          <w:p w14:paraId="753EE2F6" w14:textId="77777777" w:rsidR="00AC7D6A" w:rsidRPr="00C22C47" w:rsidRDefault="00AC7D6A" w:rsidP="00E47158">
            <w:pPr>
              <w:spacing w:before="0"/>
              <w:jc w:val="center"/>
              <w:rPr>
                <w:color w:val="000000" w:themeColor="text1"/>
              </w:rPr>
            </w:pPr>
            <w:r w:rsidRPr="00C22C47">
              <w:rPr>
                <w:color w:val="000000" w:themeColor="text1"/>
              </w:rPr>
              <w:t>Short</w:t>
            </w:r>
          </w:p>
        </w:tc>
        <w:tc>
          <w:tcPr>
            <w:tcW w:w="2338" w:type="dxa"/>
            <w:vAlign w:val="center"/>
          </w:tcPr>
          <w:p w14:paraId="0895E298" w14:textId="77777777" w:rsidR="00AC7D6A" w:rsidRPr="00C22C47" w:rsidRDefault="00AC7D6A" w:rsidP="00E47158">
            <w:pPr>
              <w:spacing w:before="0"/>
              <w:jc w:val="center"/>
              <w:rPr>
                <w:color w:val="000000" w:themeColor="text1"/>
              </w:rPr>
            </w:pPr>
            <w:r w:rsidRPr="00C22C47">
              <w:rPr>
                <w:color w:val="000000" w:themeColor="text1"/>
              </w:rPr>
              <w:t>Local</w:t>
            </w:r>
          </w:p>
        </w:tc>
        <w:tc>
          <w:tcPr>
            <w:tcW w:w="2338" w:type="dxa"/>
            <w:vAlign w:val="center"/>
          </w:tcPr>
          <w:p w14:paraId="792291FE" w14:textId="77777777" w:rsidR="00AC7D6A" w:rsidRPr="00C22C47" w:rsidRDefault="00AC7D6A" w:rsidP="00E47158">
            <w:pPr>
              <w:spacing w:before="0"/>
              <w:jc w:val="center"/>
              <w:rPr>
                <w:color w:val="000000" w:themeColor="text1"/>
              </w:rPr>
            </w:pPr>
            <w:r w:rsidRPr="00C22C47">
              <w:rPr>
                <w:color w:val="000000" w:themeColor="text1"/>
              </w:rPr>
              <w:t>Humans</w:t>
            </w:r>
          </w:p>
        </w:tc>
      </w:tr>
      <w:tr w:rsidR="00C22C47" w:rsidRPr="00C22C47" w14:paraId="6FD4D6CE" w14:textId="77777777" w:rsidTr="00E47158">
        <w:trPr>
          <w:trHeight w:val="302"/>
          <w:jc w:val="center"/>
        </w:trPr>
        <w:tc>
          <w:tcPr>
            <w:tcW w:w="2337" w:type="dxa"/>
            <w:tcBorders>
              <w:top w:val="nil"/>
              <w:bottom w:val="nil"/>
              <w:right w:val="single" w:sz="4" w:space="0" w:color="auto"/>
            </w:tcBorders>
            <w:vAlign w:val="center"/>
          </w:tcPr>
          <w:p w14:paraId="62A9D2B7" w14:textId="77777777" w:rsidR="00AC7D6A" w:rsidRPr="00C22C47" w:rsidRDefault="00AC7D6A" w:rsidP="00E47158">
            <w:pPr>
              <w:spacing w:before="0"/>
              <w:jc w:val="center"/>
              <w:rPr>
                <w:b/>
                <w:bCs/>
                <w:color w:val="000000" w:themeColor="text1"/>
              </w:rPr>
            </w:pPr>
            <w:r w:rsidRPr="00C22C47">
              <w:rPr>
                <w:b/>
                <w:bCs/>
                <w:color w:val="000000" w:themeColor="text1"/>
              </w:rPr>
              <w:t>Egalitarian</w:t>
            </w:r>
          </w:p>
        </w:tc>
        <w:tc>
          <w:tcPr>
            <w:tcW w:w="2337" w:type="dxa"/>
            <w:tcBorders>
              <w:left w:val="single" w:sz="4" w:space="0" w:color="auto"/>
            </w:tcBorders>
            <w:vAlign w:val="center"/>
          </w:tcPr>
          <w:p w14:paraId="2805AB85" w14:textId="77777777" w:rsidR="00AC7D6A" w:rsidRPr="00C22C47" w:rsidRDefault="00AC7D6A" w:rsidP="00E47158">
            <w:pPr>
              <w:spacing w:before="0"/>
              <w:jc w:val="center"/>
              <w:rPr>
                <w:color w:val="000000" w:themeColor="text1"/>
              </w:rPr>
            </w:pPr>
            <w:r w:rsidRPr="00C22C47">
              <w:rPr>
                <w:color w:val="000000" w:themeColor="text1"/>
              </w:rPr>
              <w:t>Long</w:t>
            </w:r>
          </w:p>
        </w:tc>
        <w:tc>
          <w:tcPr>
            <w:tcW w:w="2338" w:type="dxa"/>
            <w:vAlign w:val="center"/>
          </w:tcPr>
          <w:p w14:paraId="7C91DC83" w14:textId="77777777" w:rsidR="00AC7D6A" w:rsidRPr="00C22C47" w:rsidRDefault="00AC7D6A" w:rsidP="00E47158">
            <w:pPr>
              <w:spacing w:before="0"/>
              <w:jc w:val="center"/>
              <w:rPr>
                <w:color w:val="000000" w:themeColor="text1"/>
              </w:rPr>
            </w:pPr>
            <w:r w:rsidRPr="00C22C47">
              <w:rPr>
                <w:color w:val="000000" w:themeColor="text1"/>
              </w:rPr>
              <w:t>Global</w:t>
            </w:r>
          </w:p>
        </w:tc>
        <w:tc>
          <w:tcPr>
            <w:tcW w:w="2338" w:type="dxa"/>
            <w:vAlign w:val="center"/>
          </w:tcPr>
          <w:p w14:paraId="02C58D92" w14:textId="77777777" w:rsidR="00AC7D6A" w:rsidRPr="00C22C47" w:rsidRDefault="00AC7D6A" w:rsidP="00E47158">
            <w:pPr>
              <w:spacing w:before="0"/>
              <w:jc w:val="center"/>
              <w:rPr>
                <w:color w:val="000000" w:themeColor="text1"/>
              </w:rPr>
            </w:pPr>
            <w:r w:rsidRPr="00C22C47">
              <w:rPr>
                <w:color w:val="000000" w:themeColor="text1"/>
              </w:rPr>
              <w:t>Ecosystems</w:t>
            </w:r>
          </w:p>
        </w:tc>
      </w:tr>
      <w:tr w:rsidR="00AC7D6A" w:rsidRPr="00C22C47" w14:paraId="695C0F22" w14:textId="77777777" w:rsidTr="00E47158">
        <w:trPr>
          <w:trHeight w:val="302"/>
          <w:jc w:val="center"/>
        </w:trPr>
        <w:tc>
          <w:tcPr>
            <w:tcW w:w="2337" w:type="dxa"/>
            <w:tcBorders>
              <w:top w:val="nil"/>
              <w:bottom w:val="single" w:sz="4" w:space="0" w:color="auto"/>
              <w:right w:val="single" w:sz="4" w:space="0" w:color="auto"/>
            </w:tcBorders>
            <w:vAlign w:val="center"/>
          </w:tcPr>
          <w:p w14:paraId="53418297" w14:textId="77777777" w:rsidR="00AC7D6A" w:rsidRPr="00C22C47" w:rsidRDefault="00AC7D6A" w:rsidP="00E47158">
            <w:pPr>
              <w:spacing w:before="0"/>
              <w:jc w:val="center"/>
              <w:rPr>
                <w:b/>
                <w:bCs/>
                <w:color w:val="000000" w:themeColor="text1"/>
              </w:rPr>
            </w:pPr>
            <w:proofErr w:type="spellStart"/>
            <w:r w:rsidRPr="00C22C47">
              <w:rPr>
                <w:b/>
                <w:bCs/>
                <w:color w:val="000000" w:themeColor="text1"/>
              </w:rPr>
              <w:t>Hierarchist</w:t>
            </w:r>
            <w:proofErr w:type="spellEnd"/>
          </w:p>
        </w:tc>
        <w:tc>
          <w:tcPr>
            <w:tcW w:w="2337" w:type="dxa"/>
            <w:tcBorders>
              <w:left w:val="single" w:sz="4" w:space="0" w:color="auto"/>
            </w:tcBorders>
            <w:vAlign w:val="center"/>
          </w:tcPr>
          <w:p w14:paraId="133BBF0A" w14:textId="77777777" w:rsidR="00AC7D6A" w:rsidRPr="00C22C47" w:rsidRDefault="00AC7D6A" w:rsidP="00E47158">
            <w:pPr>
              <w:spacing w:before="0"/>
              <w:jc w:val="center"/>
              <w:rPr>
                <w:color w:val="000000" w:themeColor="text1"/>
              </w:rPr>
            </w:pPr>
            <w:r w:rsidRPr="00C22C47">
              <w:rPr>
                <w:color w:val="000000" w:themeColor="text1"/>
              </w:rPr>
              <w:t>Medium</w:t>
            </w:r>
          </w:p>
        </w:tc>
        <w:tc>
          <w:tcPr>
            <w:tcW w:w="2338" w:type="dxa"/>
            <w:vAlign w:val="center"/>
          </w:tcPr>
          <w:p w14:paraId="761C907C" w14:textId="77777777" w:rsidR="00AC7D6A" w:rsidRPr="00C22C47" w:rsidRDefault="00AC7D6A" w:rsidP="00E47158">
            <w:pPr>
              <w:spacing w:before="0"/>
              <w:jc w:val="center"/>
              <w:rPr>
                <w:color w:val="000000" w:themeColor="text1"/>
              </w:rPr>
            </w:pPr>
            <w:r w:rsidRPr="00C22C47">
              <w:rPr>
                <w:color w:val="000000" w:themeColor="text1"/>
              </w:rPr>
              <w:t>Regional</w:t>
            </w:r>
          </w:p>
        </w:tc>
        <w:tc>
          <w:tcPr>
            <w:tcW w:w="2338" w:type="dxa"/>
            <w:vAlign w:val="center"/>
          </w:tcPr>
          <w:p w14:paraId="40DFEB8B" w14:textId="77777777" w:rsidR="00AC7D6A" w:rsidRPr="00C22C47" w:rsidRDefault="00AC7D6A" w:rsidP="00E47158">
            <w:pPr>
              <w:spacing w:before="0"/>
              <w:jc w:val="center"/>
              <w:rPr>
                <w:color w:val="000000" w:themeColor="text1"/>
              </w:rPr>
            </w:pPr>
            <w:r w:rsidRPr="00C22C47">
              <w:rPr>
                <w:color w:val="000000" w:themeColor="text1"/>
              </w:rPr>
              <w:t>Both</w:t>
            </w:r>
          </w:p>
        </w:tc>
      </w:tr>
    </w:tbl>
    <w:p w14:paraId="7232ACE7" w14:textId="3ED4A4AF" w:rsidR="00CB7F16" w:rsidRPr="00C22C47" w:rsidRDefault="00F604AF" w:rsidP="00E47158">
      <w:pPr>
        <w:rPr>
          <w:color w:val="000000" w:themeColor="text1"/>
        </w:rPr>
      </w:pPr>
      <w:r w:rsidRPr="00C22C47">
        <w:rPr>
          <w:color w:val="000000" w:themeColor="text1"/>
        </w:rPr>
        <w:t>Though the ISI is a comprehensive index taking into account different perspectives</w:t>
      </w:r>
      <w:r w:rsidR="00C33791" w:rsidRPr="00C22C47">
        <w:rPr>
          <w:color w:val="000000" w:themeColor="text1"/>
        </w:rPr>
        <w:t xml:space="preserve"> and accounting for various sustainability metrics, the index </w:t>
      </w:r>
      <w:r w:rsidR="008E579C" w:rsidRPr="00C22C47">
        <w:rPr>
          <w:color w:val="000000" w:themeColor="text1"/>
        </w:rPr>
        <w:t xml:space="preserve">could be improved on by reducing subjectivity in weighting of the metrics and including metrics </w:t>
      </w:r>
      <w:r w:rsidR="00F87A5F" w:rsidRPr="00C22C47">
        <w:rPr>
          <w:color w:val="000000" w:themeColor="text1"/>
        </w:rPr>
        <w:t>that account for social</w:t>
      </w:r>
      <w:r w:rsidR="00DF6479" w:rsidRPr="00C22C47">
        <w:rPr>
          <w:color w:val="000000" w:themeColor="text1"/>
        </w:rPr>
        <w:t xml:space="preserve"> </w:t>
      </w:r>
      <w:r w:rsidR="0F584996" w:rsidRPr="00C22C47">
        <w:rPr>
          <w:color w:val="000000" w:themeColor="text1"/>
        </w:rPr>
        <w:t xml:space="preserve">needs </w:t>
      </w:r>
      <w:r w:rsidR="00DF6479" w:rsidRPr="00C22C47">
        <w:rPr>
          <w:color w:val="000000" w:themeColor="text1"/>
        </w:rPr>
        <w:t>in the context of</w:t>
      </w:r>
      <w:r w:rsidR="00F87A5F" w:rsidRPr="00C22C47">
        <w:rPr>
          <w:color w:val="000000" w:themeColor="text1"/>
        </w:rPr>
        <w:t xml:space="preserve"> sustainability. </w:t>
      </w:r>
    </w:p>
    <w:p w14:paraId="51EF41B4" w14:textId="52A2A109" w:rsidR="00BF714B" w:rsidRPr="00C22C47" w:rsidRDefault="00BF714B" w:rsidP="00E47158">
      <w:pPr>
        <w:rPr>
          <w:color w:val="000000" w:themeColor="text1"/>
        </w:rPr>
      </w:pPr>
      <w:r w:rsidRPr="00C22C47">
        <w:rPr>
          <w:color w:val="000000" w:themeColor="text1"/>
        </w:rPr>
        <w:t>Given the five studies mentioned above, four of the five</w:t>
      </w:r>
      <w:r w:rsidR="00AE7FC1" w:rsidRPr="00C22C47">
        <w:rPr>
          <w:color w:val="000000" w:themeColor="text1"/>
        </w:rPr>
        <w:t xml:space="preserve"> conducted comparative assessments while one created an integrated sustainability index with which to measure the sustainability of hydrogen projects. These five papers had some overlap in metrics but there were many </w:t>
      </w:r>
      <w:r w:rsidR="001855FC" w:rsidRPr="00C22C47">
        <w:rPr>
          <w:color w:val="000000" w:themeColor="text1"/>
        </w:rPr>
        <w:t>gaps as can be seen be figure XXX below.</w:t>
      </w:r>
    </w:p>
    <w:p w14:paraId="3B4B78E5" w14:textId="096E65F2" w:rsidR="003D547E" w:rsidRPr="00C22C47" w:rsidRDefault="007308EF" w:rsidP="008162C1">
      <w:r w:rsidRPr="00C22C47">
        <w:rPr>
          <w:color w:val="000000" w:themeColor="text1"/>
        </w:rPr>
        <w:t xml:space="preserve">From </w:t>
      </w:r>
      <w:r w:rsidR="00A06FB3" w:rsidRPr="00A06FB3">
        <w:rPr>
          <w:color w:val="000000" w:themeColor="text1"/>
        </w:rPr>
        <w:fldChar w:fldCharType="begin"/>
      </w:r>
      <w:r w:rsidR="00A06FB3" w:rsidRPr="00A06FB3">
        <w:rPr>
          <w:color w:val="000000" w:themeColor="text1"/>
        </w:rPr>
        <w:instrText xml:space="preserve"> REF _Ref146096351 \h  \* MERGEFORMAT </w:instrText>
      </w:r>
      <w:r w:rsidR="00A06FB3" w:rsidRPr="00A06FB3">
        <w:rPr>
          <w:color w:val="000000" w:themeColor="text1"/>
        </w:rPr>
      </w:r>
      <w:r w:rsidR="00A06FB3" w:rsidRPr="00A06FB3">
        <w:rPr>
          <w:color w:val="000000" w:themeColor="text1"/>
        </w:rPr>
        <w:fldChar w:fldCharType="separate"/>
      </w:r>
      <w:r w:rsidR="00A06FB3" w:rsidRPr="00A06FB3">
        <w:t xml:space="preserve">Figure </w:t>
      </w:r>
      <w:r w:rsidR="00A06FB3" w:rsidRPr="00A06FB3">
        <w:rPr>
          <w:noProof/>
        </w:rPr>
        <w:t>3</w:t>
      </w:r>
      <w:r w:rsidR="00A06FB3" w:rsidRPr="00A06FB3">
        <w:rPr>
          <w:color w:val="000000" w:themeColor="text1"/>
        </w:rPr>
        <w:fldChar w:fldCharType="end"/>
      </w:r>
      <w:r w:rsidRPr="00A06FB3">
        <w:rPr>
          <w:color w:val="000000" w:themeColor="text1"/>
        </w:rPr>
        <w:t xml:space="preserve">, the top sustainability metrics </w:t>
      </w:r>
      <w:r w:rsidR="004A6524" w:rsidRPr="00A06FB3">
        <w:rPr>
          <w:color w:val="000000" w:themeColor="text1"/>
        </w:rPr>
        <w:t xml:space="preserve">referenced in the research </w:t>
      </w:r>
      <w:r w:rsidR="00357589" w:rsidRPr="00A06FB3">
        <w:rPr>
          <w:color w:val="000000" w:themeColor="text1"/>
        </w:rPr>
        <w:t xml:space="preserve">at least three times </w:t>
      </w:r>
      <w:r w:rsidRPr="00A06FB3">
        <w:rPr>
          <w:color w:val="000000" w:themeColor="text1"/>
        </w:rPr>
        <w:t xml:space="preserve">were </w:t>
      </w:r>
      <w:r w:rsidR="004A6524" w:rsidRPr="00A06FB3">
        <w:rPr>
          <w:color w:val="000000" w:themeColor="text1"/>
        </w:rPr>
        <w:t>efficiency (energy and exergy),</w:t>
      </w:r>
      <w:r w:rsidR="004A6524" w:rsidRPr="00C22C47">
        <w:rPr>
          <w:color w:val="000000" w:themeColor="text1"/>
        </w:rPr>
        <w:t xml:space="preserve"> cost (initial and operating &amp; maintenance), public acceptance and scalability.</w:t>
      </w:r>
      <w:r w:rsidR="00300930" w:rsidRPr="00C22C47">
        <w:rPr>
          <w:color w:val="000000" w:themeColor="text1"/>
        </w:rPr>
        <w:t xml:space="preserve"> The next section will provide a little more detail on </w:t>
      </w:r>
      <w:r w:rsidR="3EEE4939" w:rsidRPr="00C22C47">
        <w:rPr>
          <w:color w:val="000000" w:themeColor="text1"/>
        </w:rPr>
        <w:t>these top metrics and what they are.</w:t>
      </w:r>
    </w:p>
    <w:p w14:paraId="3B7E73C1" w14:textId="00E0DE2A" w:rsidR="00FE0381" w:rsidRPr="00C22C47" w:rsidRDefault="007D747C" w:rsidP="00FB3C63">
      <w:pPr>
        <w:rPr>
          <w:color w:val="000000" w:themeColor="text1"/>
        </w:rPr>
      </w:pPr>
      <w:r w:rsidRPr="00C22C47">
        <w:rPr>
          <w:color w:val="000000" w:themeColor="text1"/>
        </w:rPr>
        <w:t xml:space="preserve">Efficiency can be measured on an energy and exergy basis. </w:t>
      </w:r>
      <w:r w:rsidR="00E30EB3">
        <w:rPr>
          <w:color w:val="000000" w:themeColor="text1"/>
        </w:rPr>
        <w:t xml:space="preserve"> </w:t>
      </w:r>
      <w:r w:rsidR="00FE0381" w:rsidRPr="00C22C47">
        <w:rPr>
          <w:color w:val="000000" w:themeColor="text1"/>
        </w:rPr>
        <w:t>Costs are typically compared on a least-cost basis taking into account total capital investment and total operations and maintenance costs over the lifetime of a project.</w:t>
      </w:r>
      <w:r w:rsidR="00E30EB3">
        <w:rPr>
          <w:color w:val="000000" w:themeColor="text1"/>
        </w:rPr>
        <w:t xml:space="preserve"> </w:t>
      </w:r>
      <w:r w:rsidR="00FE0381" w:rsidRPr="00C22C47">
        <w:rPr>
          <w:color w:val="000000" w:themeColor="text1"/>
        </w:rPr>
        <w:t xml:space="preserve">Public acceptance is </w:t>
      </w:r>
      <w:r w:rsidR="00E30EB3">
        <w:rPr>
          <w:color w:val="000000" w:themeColor="text1"/>
        </w:rPr>
        <w:t xml:space="preserve">dependent on the public response to the </w:t>
      </w:r>
      <w:r w:rsidR="00CB5F4F">
        <w:rPr>
          <w:color w:val="000000" w:themeColor="text1"/>
        </w:rPr>
        <w:t xml:space="preserve">project. </w:t>
      </w:r>
      <w:r w:rsidR="00FE0381" w:rsidRPr="00C22C47">
        <w:rPr>
          <w:color w:val="000000" w:themeColor="text1"/>
        </w:rPr>
        <w:t>Scalability</w:t>
      </w:r>
      <w:r w:rsidR="003643AB" w:rsidRPr="00C22C47">
        <w:rPr>
          <w:color w:val="000000" w:themeColor="text1"/>
        </w:rPr>
        <w:t xml:space="preserve"> can be measured by</w:t>
      </w:r>
      <w:r w:rsidR="00CB5F4F">
        <w:rPr>
          <w:color w:val="000000" w:themeColor="text1"/>
        </w:rPr>
        <w:t xml:space="preserve"> the extent or </w:t>
      </w:r>
      <w:r w:rsidR="00F35848">
        <w:rPr>
          <w:color w:val="000000" w:themeColor="text1"/>
        </w:rPr>
        <w:t xml:space="preserve">the capacity of the installed facility for addition in future without any major changes needed. </w:t>
      </w:r>
    </w:p>
    <w:p w14:paraId="235BEE45" w14:textId="37FFE530" w:rsidR="003643AB" w:rsidRPr="00C22C47" w:rsidRDefault="003643AB" w:rsidP="00FB3C63">
      <w:pPr>
        <w:rPr>
          <w:color w:val="000000" w:themeColor="text1"/>
        </w:rPr>
      </w:pPr>
      <w:r w:rsidRPr="00C22C47">
        <w:rPr>
          <w:color w:val="000000" w:themeColor="text1"/>
        </w:rPr>
        <w:t>These metrics, while all provide a good baseline to measure sustainability</w:t>
      </w:r>
      <w:r w:rsidR="00A24863" w:rsidRPr="00C22C47">
        <w:rPr>
          <w:color w:val="000000" w:themeColor="text1"/>
        </w:rPr>
        <w:t xml:space="preserve"> are limited. To develop a more comprehensive framework for sustainability, the overall objectives of reaching sustainability shoul</w:t>
      </w:r>
      <w:r w:rsidR="00242179" w:rsidRPr="00C22C47">
        <w:rPr>
          <w:color w:val="000000" w:themeColor="text1"/>
        </w:rPr>
        <w:t>d include additional metrics for each of the objectives of economic, technical, environmental, and social.</w:t>
      </w:r>
    </w:p>
    <w:p w14:paraId="16393891" w14:textId="7D6764E4" w:rsidR="001A5C7B" w:rsidRPr="00C22C47" w:rsidRDefault="73B65BC8" w:rsidP="00FB3C63">
      <w:pPr>
        <w:rPr>
          <w:color w:val="000000" w:themeColor="text1"/>
        </w:rPr>
      </w:pPr>
      <w:r w:rsidRPr="00C22C47">
        <w:rPr>
          <w:color w:val="000000" w:themeColor="text1"/>
        </w:rPr>
        <w:t xml:space="preserve">The next section will focus on </w:t>
      </w:r>
      <w:r w:rsidR="008F531C" w:rsidRPr="00C22C47">
        <w:rPr>
          <w:color w:val="000000" w:themeColor="text1"/>
        </w:rPr>
        <w:t>sustainability practice</w:t>
      </w:r>
      <w:r w:rsidR="7022E957" w:rsidRPr="00C22C47">
        <w:rPr>
          <w:color w:val="000000" w:themeColor="text1"/>
        </w:rPr>
        <w:t>s</w:t>
      </w:r>
      <w:r w:rsidR="008F531C" w:rsidRPr="00C22C47">
        <w:rPr>
          <w:color w:val="000000" w:themeColor="text1"/>
        </w:rPr>
        <w:t xml:space="preserve"> by industry. Though there is not a single agreed-upon framework for sustainability, many publicly traded companies report on their sustainability progress. We will </w:t>
      </w:r>
      <w:r w:rsidR="00D43F21" w:rsidRPr="00C22C47">
        <w:rPr>
          <w:color w:val="000000" w:themeColor="text1"/>
        </w:rPr>
        <w:t>review what is reported and try to assess what can be learned from industry and possibly applied in practice.</w:t>
      </w:r>
    </w:p>
    <w:p w14:paraId="4EE4CB6B" w14:textId="451CF573" w:rsidR="000F112B" w:rsidRPr="00C22C47" w:rsidRDefault="000F112B" w:rsidP="005F2F08">
      <w:pPr>
        <w:pStyle w:val="Heading3"/>
      </w:pPr>
      <w:bookmarkStart w:id="8" w:name="_Toc146147231"/>
      <w:commentRangeStart w:id="9"/>
      <w:r w:rsidRPr="00C22C47">
        <w:t>Sustainability Practice in Industry</w:t>
      </w:r>
      <w:commentRangeEnd w:id="9"/>
      <w:r w:rsidRPr="00C22C47">
        <w:rPr>
          <w:rStyle w:val="CommentReference"/>
        </w:rPr>
        <w:commentReference w:id="9"/>
      </w:r>
      <w:bookmarkEnd w:id="8"/>
    </w:p>
    <w:p w14:paraId="5A3EC9CC" w14:textId="19311554" w:rsidR="00622529" w:rsidRPr="00C22C47" w:rsidRDefault="00397028" w:rsidP="00FB3C63">
      <w:pPr>
        <w:rPr>
          <w:color w:val="000000" w:themeColor="text1"/>
        </w:rPr>
      </w:pPr>
      <w:r>
        <w:rPr>
          <w:color w:val="000000" w:themeColor="text1"/>
        </w:rPr>
        <w:t>In March 2022, t</w:t>
      </w:r>
      <w:r w:rsidR="00584686">
        <w:rPr>
          <w:color w:val="000000" w:themeColor="text1"/>
        </w:rPr>
        <w:t xml:space="preserve">he SEC has proposed rules that would require companies to disclose climate-related risks that would materially impact their business. </w:t>
      </w:r>
      <w:r>
        <w:rPr>
          <w:color w:val="000000" w:themeColor="text1"/>
        </w:rPr>
        <w:t xml:space="preserve">While these rules are proposed </w:t>
      </w:r>
      <w:r w:rsidR="00D41121">
        <w:rPr>
          <w:color w:val="000000" w:themeColor="text1"/>
        </w:rPr>
        <w:t>to be phased in in fiscal years 2023 through 2027,</w:t>
      </w:r>
      <w:r>
        <w:rPr>
          <w:color w:val="000000" w:themeColor="text1"/>
        </w:rPr>
        <w:t xml:space="preserve">  many companies are currently taking the initiative to start reporting on such </w:t>
      </w:r>
      <w:r w:rsidR="008C51D8">
        <w:rPr>
          <w:color w:val="000000" w:themeColor="text1"/>
        </w:rPr>
        <w:t>issues as well as other ESG practices</w:t>
      </w:r>
      <w:r>
        <w:rPr>
          <w:color w:val="000000" w:themeColor="text1"/>
        </w:rPr>
        <w:t xml:space="preserve">. </w:t>
      </w:r>
      <w:r w:rsidR="009511D3">
        <w:rPr>
          <w:color w:val="000000" w:themeColor="text1"/>
        </w:rPr>
        <w:t>In this section we review</w:t>
      </w:r>
      <w:r w:rsidR="009511D3" w:rsidRPr="00C22C47">
        <w:rPr>
          <w:color w:val="000000" w:themeColor="text1"/>
        </w:rPr>
        <w:t xml:space="preserve"> </w:t>
      </w:r>
      <w:r w:rsidR="4CD7DF61" w:rsidRPr="00C22C47">
        <w:rPr>
          <w:color w:val="000000" w:themeColor="text1"/>
        </w:rPr>
        <w:t xml:space="preserve">numerous </w:t>
      </w:r>
      <w:r w:rsidR="2E71AF22" w:rsidRPr="00C22C47">
        <w:rPr>
          <w:color w:val="000000" w:themeColor="text1"/>
        </w:rPr>
        <w:t xml:space="preserve">sustainability reports from </w:t>
      </w:r>
      <w:commentRangeStart w:id="11"/>
      <w:r w:rsidR="2E71AF22" w:rsidRPr="00C22C47">
        <w:rPr>
          <w:color w:val="000000" w:themeColor="text1"/>
        </w:rPr>
        <w:t>several of the world’s large hydrogen producers</w:t>
      </w:r>
      <w:r w:rsidR="4B564EEC" w:rsidRPr="00C22C47">
        <w:rPr>
          <w:color w:val="000000" w:themeColor="text1"/>
        </w:rPr>
        <w:t>.</w:t>
      </w:r>
      <w:r w:rsidR="005FDB72" w:rsidRPr="00C22C47">
        <w:rPr>
          <w:color w:val="000000" w:themeColor="text1"/>
        </w:rPr>
        <w:t xml:space="preserve"> </w:t>
      </w:r>
      <w:r w:rsidR="4AC9F766" w:rsidRPr="00C22C47">
        <w:rPr>
          <w:color w:val="000000" w:themeColor="text1"/>
        </w:rPr>
        <w:t xml:space="preserve">This list includes Linde, Shell, CP Chem, Plug Power, Bloom Energy, Nel, Linde, Air Liquide, ITM Power, </w:t>
      </w:r>
      <w:proofErr w:type="spellStart"/>
      <w:r w:rsidR="4AC9F766" w:rsidRPr="00C22C47">
        <w:rPr>
          <w:color w:val="000000" w:themeColor="text1"/>
        </w:rPr>
        <w:t>McPhy</w:t>
      </w:r>
      <w:proofErr w:type="spellEnd"/>
      <w:r w:rsidR="4AC9F766" w:rsidRPr="00C22C47">
        <w:rPr>
          <w:color w:val="000000" w:themeColor="text1"/>
        </w:rPr>
        <w:t xml:space="preserve">, </w:t>
      </w:r>
      <w:r w:rsidR="602C39AF" w:rsidRPr="00C22C47">
        <w:rPr>
          <w:color w:val="000000" w:themeColor="text1"/>
        </w:rPr>
        <w:t xml:space="preserve">and </w:t>
      </w:r>
      <w:r w:rsidR="4AC9F766" w:rsidRPr="00C22C47">
        <w:rPr>
          <w:color w:val="000000" w:themeColor="text1"/>
        </w:rPr>
        <w:t>Air Products</w:t>
      </w:r>
      <w:r w:rsidR="580B12DE" w:rsidRPr="00C22C47">
        <w:rPr>
          <w:color w:val="000000" w:themeColor="text1"/>
        </w:rPr>
        <w:t>.</w:t>
      </w:r>
      <w:r w:rsidR="4AC9F766" w:rsidRPr="00C22C47">
        <w:rPr>
          <w:color w:val="000000" w:themeColor="text1"/>
        </w:rPr>
        <w:t xml:space="preserve"> </w:t>
      </w:r>
      <w:commentRangeEnd w:id="11"/>
      <w:r w:rsidR="005FDB72" w:rsidRPr="00C22C47">
        <w:rPr>
          <w:rStyle w:val="CommentReference"/>
          <w:color w:val="000000" w:themeColor="text1"/>
        </w:rPr>
        <w:commentReference w:id="11"/>
      </w:r>
    </w:p>
    <w:p w14:paraId="19AB10DA" w14:textId="4C088A3F" w:rsidR="00622529" w:rsidRPr="00C22C47" w:rsidRDefault="005FDB72" w:rsidP="00FB3C63">
      <w:pPr>
        <w:rPr>
          <w:color w:val="000000" w:themeColor="text1"/>
        </w:rPr>
      </w:pPr>
      <w:r w:rsidRPr="00C22C47">
        <w:rPr>
          <w:color w:val="000000" w:themeColor="text1"/>
        </w:rPr>
        <w:t xml:space="preserve">The </w:t>
      </w:r>
      <w:commentRangeStart w:id="12"/>
      <w:r w:rsidRPr="00C22C47">
        <w:rPr>
          <w:color w:val="000000" w:themeColor="text1"/>
        </w:rPr>
        <w:t xml:space="preserve">graphic </w:t>
      </w:r>
      <w:r w:rsidR="00894731">
        <w:rPr>
          <w:color w:val="000000" w:themeColor="text1"/>
        </w:rPr>
        <w:t xml:space="preserve">in </w:t>
      </w:r>
      <w:r w:rsidR="00894731">
        <w:rPr>
          <w:color w:val="000000" w:themeColor="text1"/>
        </w:rPr>
        <w:fldChar w:fldCharType="begin"/>
      </w:r>
      <w:r w:rsidR="00894731">
        <w:rPr>
          <w:color w:val="000000" w:themeColor="text1"/>
        </w:rPr>
        <w:instrText xml:space="preserve"> REF _Ref146146650 \h </w:instrText>
      </w:r>
      <w:r w:rsidR="00894731">
        <w:rPr>
          <w:color w:val="000000" w:themeColor="text1"/>
        </w:rPr>
      </w:r>
      <w:r w:rsidR="00894731">
        <w:rPr>
          <w:color w:val="000000" w:themeColor="text1"/>
        </w:rPr>
        <w:fldChar w:fldCharType="separate"/>
      </w:r>
      <w:r w:rsidR="00894731">
        <w:t xml:space="preserve">Figure </w:t>
      </w:r>
      <w:r w:rsidR="00894731">
        <w:rPr>
          <w:noProof/>
        </w:rPr>
        <w:t>4</w:t>
      </w:r>
      <w:r w:rsidR="00894731">
        <w:rPr>
          <w:color w:val="000000" w:themeColor="text1"/>
        </w:rPr>
        <w:fldChar w:fldCharType="end"/>
      </w:r>
      <w:r w:rsidRPr="00C22C47">
        <w:rPr>
          <w:color w:val="000000" w:themeColor="text1"/>
        </w:rPr>
        <w:t xml:space="preserve"> shows</w:t>
      </w:r>
      <w:r w:rsidR="3EB4750C" w:rsidRPr="00C22C47">
        <w:rPr>
          <w:color w:val="000000" w:themeColor="text1"/>
        </w:rPr>
        <w:t xml:space="preserve"> a summary </w:t>
      </w:r>
      <w:r w:rsidR="72F8CA20" w:rsidRPr="00C22C47">
        <w:rPr>
          <w:color w:val="000000" w:themeColor="text1"/>
        </w:rPr>
        <w:t xml:space="preserve">of </w:t>
      </w:r>
      <w:commentRangeEnd w:id="12"/>
      <w:r w:rsidR="00B25A71" w:rsidRPr="00C22C47">
        <w:rPr>
          <w:rStyle w:val="CommentReference"/>
          <w:color w:val="000000" w:themeColor="text1"/>
        </w:rPr>
        <w:commentReference w:id="12"/>
      </w:r>
      <w:r w:rsidR="1863581F" w:rsidRPr="00C22C47">
        <w:rPr>
          <w:color w:val="000000" w:themeColor="text1"/>
        </w:rPr>
        <w:t xml:space="preserve">reported </w:t>
      </w:r>
      <w:r w:rsidR="72F8CA20" w:rsidRPr="00C22C47">
        <w:rPr>
          <w:color w:val="000000" w:themeColor="text1"/>
        </w:rPr>
        <w:t xml:space="preserve">metrics. While not intended to be comprehensive, it provides insight </w:t>
      </w:r>
      <w:r w:rsidR="0E3C613F" w:rsidRPr="00C22C47">
        <w:rPr>
          <w:color w:val="000000" w:themeColor="text1"/>
        </w:rPr>
        <w:t xml:space="preserve">as to which sustainability metrics and goals are most </w:t>
      </w:r>
      <w:r w:rsidR="763F9B63" w:rsidRPr="00C22C47">
        <w:rPr>
          <w:color w:val="000000" w:themeColor="text1"/>
        </w:rPr>
        <w:t>emphasized</w:t>
      </w:r>
      <w:r w:rsidR="0E3C613F" w:rsidRPr="00C22C47">
        <w:rPr>
          <w:color w:val="000000" w:themeColor="text1"/>
        </w:rPr>
        <w:t xml:space="preserve"> by </w:t>
      </w:r>
      <w:r w:rsidR="58787E24" w:rsidRPr="00C22C47">
        <w:rPr>
          <w:color w:val="000000" w:themeColor="text1"/>
        </w:rPr>
        <w:t>companies</w:t>
      </w:r>
      <w:r w:rsidR="0E3C613F" w:rsidRPr="00C22C47">
        <w:rPr>
          <w:color w:val="000000" w:themeColor="text1"/>
        </w:rPr>
        <w:t xml:space="preserve"> today.</w:t>
      </w:r>
    </w:p>
    <w:p w14:paraId="689D0D3B" w14:textId="36BDFF7D" w:rsidR="00750C9C" w:rsidRDefault="00622529" w:rsidP="00D077F9">
      <w:pPr>
        <w:keepNext/>
        <w:spacing w:after="0"/>
        <w:jc w:val="center"/>
      </w:pPr>
      <w:commentRangeStart w:id="13"/>
      <w:commentRangeEnd w:id="13"/>
      <w:r w:rsidRPr="00C22C47">
        <w:rPr>
          <w:rStyle w:val="CommentReference"/>
          <w:color w:val="000000" w:themeColor="text1"/>
        </w:rPr>
        <w:commentReference w:id="13"/>
      </w:r>
      <w:r w:rsidR="00696C03" w:rsidRPr="00696C03">
        <w:rPr>
          <w:color w:val="000000" w:themeColor="text1"/>
        </w:rPr>
        <w:t xml:space="preserve"> </w:t>
      </w:r>
      <w:r w:rsidR="00696C03" w:rsidRPr="00696C03">
        <w:rPr>
          <w:noProof/>
        </w:rPr>
        <w:drawing>
          <wp:inline distT="0" distB="0" distL="0" distR="0" wp14:anchorId="10DE4061" wp14:editId="4C96B83E">
            <wp:extent cx="5943600" cy="7351395"/>
            <wp:effectExtent l="0" t="0" r="0" b="0"/>
            <wp:docPr id="838725838" name="Picture 83872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351395"/>
                    </a:xfrm>
                    <a:prstGeom prst="rect">
                      <a:avLst/>
                    </a:prstGeom>
                    <a:noFill/>
                    <a:ln>
                      <a:noFill/>
                    </a:ln>
                  </pic:spPr>
                </pic:pic>
              </a:graphicData>
            </a:graphic>
          </wp:inline>
        </w:drawing>
      </w:r>
    </w:p>
    <w:p w14:paraId="550A1194" w14:textId="78EBA62D" w:rsidR="00622529" w:rsidRPr="00C22C47" w:rsidRDefault="00750C9C" w:rsidP="00D077F9">
      <w:pPr>
        <w:pStyle w:val="Subtitle"/>
        <w:spacing w:before="0"/>
        <w:rPr>
          <w:color w:val="000000" w:themeColor="text1"/>
        </w:rPr>
      </w:pPr>
      <w:bookmarkStart w:id="14" w:name="_Ref146146650"/>
      <w:r>
        <w:t xml:space="preserve">Figure </w:t>
      </w:r>
      <w:r w:rsidR="0076009A">
        <w:fldChar w:fldCharType="begin"/>
      </w:r>
      <w:r w:rsidR="0076009A">
        <w:instrText xml:space="preserve"> SEQ Figure \* ARABIC </w:instrText>
      </w:r>
      <w:r w:rsidR="0076009A">
        <w:fldChar w:fldCharType="separate"/>
      </w:r>
      <w:r>
        <w:rPr>
          <w:noProof/>
        </w:rPr>
        <w:t>4</w:t>
      </w:r>
      <w:r w:rsidR="0076009A">
        <w:rPr>
          <w:noProof/>
        </w:rPr>
        <w:fldChar w:fldCharType="end"/>
      </w:r>
      <w:bookmarkEnd w:id="14"/>
      <w:r>
        <w:t xml:space="preserve">. </w:t>
      </w:r>
      <w:r w:rsidRPr="00894731">
        <w:rPr>
          <w:b w:val="0"/>
          <w:bCs w:val="0"/>
        </w:rPr>
        <w:t>(a) Metrics used by industry to evaluate their sustainability index</w:t>
      </w:r>
      <w:r w:rsidR="00894731" w:rsidRPr="00894731">
        <w:rPr>
          <w:b w:val="0"/>
          <w:bCs w:val="0"/>
        </w:rPr>
        <w:t>. Most commonly used m</w:t>
      </w:r>
      <w:r w:rsidRPr="00894731">
        <w:rPr>
          <w:b w:val="0"/>
          <w:bCs w:val="0"/>
        </w:rPr>
        <w:t xml:space="preserve">etrics </w:t>
      </w:r>
      <w:r w:rsidR="00894731" w:rsidRPr="00894731">
        <w:rPr>
          <w:b w:val="0"/>
          <w:bCs w:val="0"/>
        </w:rPr>
        <w:t>and their count under the umbrella of (b) GHG reductions, (c) Community engagements, (d) Sustainable economic growth, (e) Employee safety, (f) Diversity and Inclusion, (g) Water conservation and (h) Waste reduction.</w:t>
      </w:r>
      <w:r w:rsidR="00894731">
        <w:t xml:space="preserve"> </w:t>
      </w:r>
    </w:p>
    <w:p w14:paraId="45ABF0C6" w14:textId="0B0BFD81" w:rsidR="55897329" w:rsidRPr="00C22C47" w:rsidRDefault="55897329" w:rsidP="00502190">
      <w:pPr>
        <w:rPr>
          <w:color w:val="000000" w:themeColor="text1"/>
        </w:rPr>
      </w:pPr>
      <w:r w:rsidRPr="00C22C47">
        <w:rPr>
          <w:color w:val="000000" w:themeColor="text1"/>
        </w:rPr>
        <w:t xml:space="preserve">Upon reviewing the sustainability reports from these </w:t>
      </w:r>
      <w:r w:rsidR="3CC876AB" w:rsidRPr="00C22C47">
        <w:rPr>
          <w:color w:val="000000" w:themeColor="text1"/>
        </w:rPr>
        <w:t>companies,</w:t>
      </w:r>
      <w:r w:rsidRPr="00C22C47">
        <w:rPr>
          <w:color w:val="000000" w:themeColor="text1"/>
        </w:rPr>
        <w:t xml:space="preserve"> it is important to note that </w:t>
      </w:r>
      <w:r w:rsidR="50208C4D" w:rsidRPr="00C22C47">
        <w:rPr>
          <w:color w:val="000000" w:themeColor="text1"/>
        </w:rPr>
        <w:t xml:space="preserve">each company </w:t>
      </w:r>
      <w:r w:rsidR="0EC1ED21" w:rsidRPr="00C22C47">
        <w:rPr>
          <w:color w:val="000000" w:themeColor="text1"/>
        </w:rPr>
        <w:t xml:space="preserve">not only </w:t>
      </w:r>
      <w:r w:rsidR="50208C4D" w:rsidRPr="00C22C47">
        <w:rPr>
          <w:color w:val="000000" w:themeColor="text1"/>
        </w:rPr>
        <w:t>differed in the metrics reported</w:t>
      </w:r>
      <w:r w:rsidR="3DADE101" w:rsidRPr="00C22C47">
        <w:rPr>
          <w:color w:val="000000" w:themeColor="text1"/>
        </w:rPr>
        <w:t xml:space="preserve"> and the</w:t>
      </w:r>
      <w:r w:rsidR="50208C4D" w:rsidRPr="00C22C47">
        <w:rPr>
          <w:color w:val="000000" w:themeColor="text1"/>
        </w:rPr>
        <w:t xml:space="preserve"> frameworks </w:t>
      </w:r>
      <w:r w:rsidR="33A0E60D" w:rsidRPr="00C22C47">
        <w:rPr>
          <w:color w:val="000000" w:themeColor="text1"/>
        </w:rPr>
        <w:t xml:space="preserve">used to derive these metrics, but also in the depth to which they reported on sustainability metrics. </w:t>
      </w:r>
      <w:r w:rsidR="50208C4D" w:rsidRPr="00C22C47">
        <w:rPr>
          <w:color w:val="000000" w:themeColor="text1"/>
        </w:rPr>
        <w:t xml:space="preserve"> The following paragraphs will just highlight a sample of </w:t>
      </w:r>
      <w:r w:rsidR="00171DD1">
        <w:rPr>
          <w:color w:val="000000" w:themeColor="text1"/>
        </w:rPr>
        <w:t>two</w:t>
      </w:r>
      <w:r w:rsidR="00171DD1" w:rsidRPr="00C22C47">
        <w:rPr>
          <w:color w:val="000000" w:themeColor="text1"/>
        </w:rPr>
        <w:t xml:space="preserve"> </w:t>
      </w:r>
      <w:r w:rsidR="50208C4D" w:rsidRPr="00C22C47">
        <w:rPr>
          <w:color w:val="000000" w:themeColor="text1"/>
        </w:rPr>
        <w:t xml:space="preserve">companies. </w:t>
      </w:r>
      <w:r w:rsidR="249977B4" w:rsidRPr="00C22C47">
        <w:rPr>
          <w:color w:val="000000" w:themeColor="text1"/>
        </w:rPr>
        <w:t xml:space="preserve"> </w:t>
      </w:r>
      <w:r w:rsidR="50208C4D" w:rsidRPr="00C22C47">
        <w:rPr>
          <w:color w:val="000000" w:themeColor="text1"/>
        </w:rPr>
        <w:t>The first is Plug Power, a</w:t>
      </w:r>
      <w:r w:rsidR="606DE177" w:rsidRPr="00C22C47">
        <w:rPr>
          <w:color w:val="000000" w:themeColor="text1"/>
        </w:rPr>
        <w:t xml:space="preserve"> U.S.-based manufacturer of </w:t>
      </w:r>
      <w:proofErr w:type="spellStart"/>
      <w:r w:rsidR="606DE177" w:rsidRPr="00C22C47">
        <w:rPr>
          <w:color w:val="000000" w:themeColor="text1"/>
        </w:rPr>
        <w:t>electrolyzers</w:t>
      </w:r>
      <w:proofErr w:type="spellEnd"/>
      <w:r w:rsidR="606DE177" w:rsidRPr="00C22C47">
        <w:rPr>
          <w:color w:val="000000" w:themeColor="text1"/>
        </w:rPr>
        <w:t xml:space="preserve"> and producer of hydrogen. The second is Air Liquide, a French producer of “grey” (or fossil fuel) hydrogen, </w:t>
      </w:r>
      <w:r w:rsidR="23A381A6" w:rsidRPr="00C22C47">
        <w:rPr>
          <w:color w:val="000000" w:themeColor="text1"/>
        </w:rPr>
        <w:t xml:space="preserve">and CP Chem, an American petrochemical producer and also a producer </w:t>
      </w:r>
      <w:r w:rsidR="11F1A024" w:rsidRPr="00C22C47">
        <w:rPr>
          <w:color w:val="000000" w:themeColor="text1"/>
        </w:rPr>
        <w:t xml:space="preserve">and consumer </w:t>
      </w:r>
      <w:r w:rsidR="23A381A6" w:rsidRPr="00C22C47">
        <w:rPr>
          <w:color w:val="000000" w:themeColor="text1"/>
        </w:rPr>
        <w:t>of fossil-based hydrogen.</w:t>
      </w:r>
    </w:p>
    <w:p w14:paraId="1ECC1A55" w14:textId="09C6851B" w:rsidR="1A18E1FF" w:rsidRPr="00C22C47" w:rsidRDefault="1A18E1FF" w:rsidP="00FB3C63">
      <w:pPr>
        <w:rPr>
          <w:color w:val="000000" w:themeColor="text1"/>
        </w:rPr>
      </w:pPr>
      <w:r w:rsidRPr="00C22C47">
        <w:rPr>
          <w:color w:val="000000" w:themeColor="text1"/>
        </w:rPr>
        <w:t>Plug Power’s sustainability report focused primarily on emissions</w:t>
      </w:r>
      <w:r w:rsidR="600BAEA0" w:rsidRPr="00C22C47">
        <w:rPr>
          <w:color w:val="000000" w:themeColor="text1"/>
        </w:rPr>
        <w:t xml:space="preserve"> and water withdrawn</w:t>
      </w:r>
      <w:r w:rsidRPr="00C22C47">
        <w:rPr>
          <w:color w:val="000000" w:themeColor="text1"/>
        </w:rPr>
        <w:t xml:space="preserve">. They measured their </w:t>
      </w:r>
      <w:r w:rsidR="29597A3D" w:rsidRPr="00C22C47">
        <w:rPr>
          <w:color w:val="000000" w:themeColor="text1"/>
        </w:rPr>
        <w:t>emissions in accordance with the Greenhouse Gas Protocol.</w:t>
      </w:r>
      <w:r w:rsidR="7F2B1F02" w:rsidRPr="00C22C47">
        <w:rPr>
          <w:color w:val="000000" w:themeColor="text1"/>
        </w:rPr>
        <w:t xml:space="preserve"> Aside from these two metrics, Plug Power was </w:t>
      </w:r>
      <w:r w:rsidR="54C8034A" w:rsidRPr="00C22C47">
        <w:rPr>
          <w:color w:val="000000" w:themeColor="text1"/>
        </w:rPr>
        <w:t xml:space="preserve">comparatively </w:t>
      </w:r>
      <w:r w:rsidR="7F2B1F02" w:rsidRPr="00C22C47">
        <w:rPr>
          <w:color w:val="000000" w:themeColor="text1"/>
        </w:rPr>
        <w:t xml:space="preserve">light on reporting metrics in other areas of </w:t>
      </w:r>
      <w:r w:rsidR="12724DE8" w:rsidRPr="00C22C47">
        <w:rPr>
          <w:color w:val="000000" w:themeColor="text1"/>
        </w:rPr>
        <w:t>sustainability</w:t>
      </w:r>
      <w:r w:rsidR="28F34AC3" w:rsidRPr="00C22C47">
        <w:rPr>
          <w:color w:val="000000" w:themeColor="text1"/>
        </w:rPr>
        <w:t>, though</w:t>
      </w:r>
      <w:r w:rsidR="7F2B1F02" w:rsidRPr="00C22C47">
        <w:rPr>
          <w:color w:val="000000" w:themeColor="text1"/>
        </w:rPr>
        <w:t xml:space="preserve"> there was mention of their policies concerning health &amp; safety, wellbeing,</w:t>
      </w:r>
      <w:r w:rsidR="72B541DB" w:rsidRPr="00C22C47">
        <w:rPr>
          <w:color w:val="000000" w:themeColor="text1"/>
        </w:rPr>
        <w:t xml:space="preserve"> and</w:t>
      </w:r>
      <w:r w:rsidR="7F2B1F02" w:rsidRPr="00C22C47">
        <w:rPr>
          <w:color w:val="000000" w:themeColor="text1"/>
        </w:rPr>
        <w:t xml:space="preserve"> employee engagement</w:t>
      </w:r>
      <w:r w:rsidR="4985375A" w:rsidRPr="00C22C47">
        <w:rPr>
          <w:color w:val="000000" w:themeColor="text1"/>
        </w:rPr>
        <w:t xml:space="preserve">. </w:t>
      </w:r>
      <w:r w:rsidR="59AC489A" w:rsidRPr="00C22C47">
        <w:rPr>
          <w:color w:val="000000" w:themeColor="text1"/>
        </w:rPr>
        <w:t xml:space="preserve">Furthermore, Plug Power highlighted their adherence to the Conflict Minerals Rule and made statements on their verification of supply chain partners to ensure </w:t>
      </w:r>
      <w:r w:rsidR="70837841" w:rsidRPr="00C22C47">
        <w:rPr>
          <w:color w:val="000000" w:themeColor="text1"/>
        </w:rPr>
        <w:t xml:space="preserve">a responsible supply chain. Lastly, they rounded out their report with an assessment of risks </w:t>
      </w:r>
      <w:r w:rsidR="47FA6718" w:rsidRPr="00C22C47">
        <w:rPr>
          <w:color w:val="000000" w:themeColor="text1"/>
        </w:rPr>
        <w:t xml:space="preserve">highlighted by the </w:t>
      </w:r>
      <w:r w:rsidR="00F23641" w:rsidRPr="00C22C47">
        <w:rPr>
          <w:color w:val="000000" w:themeColor="text1"/>
        </w:rPr>
        <w:t>Task</w:t>
      </w:r>
      <w:r w:rsidR="00213242" w:rsidRPr="00C22C47">
        <w:rPr>
          <w:color w:val="000000" w:themeColor="text1"/>
        </w:rPr>
        <w:t xml:space="preserve"> F</w:t>
      </w:r>
      <w:r w:rsidR="00F23641" w:rsidRPr="00C22C47">
        <w:rPr>
          <w:color w:val="000000" w:themeColor="text1"/>
        </w:rPr>
        <w:t xml:space="preserve">orce of Climate-Related </w:t>
      </w:r>
      <w:r w:rsidR="00213242" w:rsidRPr="00C22C47">
        <w:rPr>
          <w:color w:val="000000" w:themeColor="text1"/>
        </w:rPr>
        <w:t>Financial Disclosures (</w:t>
      </w:r>
      <w:r w:rsidR="47FA6718" w:rsidRPr="00C22C47">
        <w:rPr>
          <w:color w:val="000000" w:themeColor="text1"/>
        </w:rPr>
        <w:t>TCFD</w:t>
      </w:r>
      <w:r w:rsidR="00213242" w:rsidRPr="00C22C47">
        <w:rPr>
          <w:color w:val="000000" w:themeColor="text1"/>
        </w:rPr>
        <w:t>)</w:t>
      </w:r>
      <w:r w:rsidR="47FA6718" w:rsidRPr="00C22C47">
        <w:rPr>
          <w:color w:val="000000" w:themeColor="text1"/>
        </w:rPr>
        <w:t xml:space="preserve"> framework, their impacts, and mitigation strategies. </w:t>
      </w:r>
    </w:p>
    <w:p w14:paraId="2756263C" w14:textId="1F0C09BF" w:rsidR="49FB2DC3" w:rsidRPr="00C22C47" w:rsidRDefault="49FB2DC3" w:rsidP="00FB3C63">
      <w:pPr>
        <w:rPr>
          <w:color w:val="000000" w:themeColor="text1"/>
        </w:rPr>
      </w:pPr>
      <w:r w:rsidRPr="00C22C47">
        <w:rPr>
          <w:color w:val="000000" w:themeColor="text1"/>
        </w:rPr>
        <w:t>Air Liquide, on the other hand, produced an extremely comprehensive 2022 sustainability report. In addition to report on scope 1, 2</w:t>
      </w:r>
      <w:r w:rsidR="00213242" w:rsidRPr="00C22C47">
        <w:rPr>
          <w:color w:val="000000" w:themeColor="text1"/>
        </w:rPr>
        <w:t>,</w:t>
      </w:r>
      <w:r w:rsidRPr="00C22C47">
        <w:rPr>
          <w:color w:val="000000" w:themeColor="text1"/>
        </w:rPr>
        <w:t xml:space="preserve"> and 3 emissions</w:t>
      </w:r>
      <w:r w:rsidR="79D6075F" w:rsidRPr="00C22C47">
        <w:rPr>
          <w:color w:val="000000" w:themeColor="text1"/>
        </w:rPr>
        <w:t xml:space="preserve"> the company also reported on many more sustainability areas such as water consumption by source, discharge into air and water, waste and by-products,</w:t>
      </w:r>
      <w:r w:rsidR="2C00519B" w:rsidRPr="00C22C47">
        <w:rPr>
          <w:color w:val="000000" w:themeColor="text1"/>
        </w:rPr>
        <w:t xml:space="preserve"> human resource indicators like workforce makeup, </w:t>
      </w:r>
      <w:r w:rsidR="586F2328" w:rsidRPr="00C22C47">
        <w:rPr>
          <w:color w:val="000000" w:themeColor="text1"/>
        </w:rPr>
        <w:t>attrition</w:t>
      </w:r>
      <w:r w:rsidR="2C00519B" w:rsidRPr="00C22C47">
        <w:rPr>
          <w:color w:val="000000" w:themeColor="text1"/>
        </w:rPr>
        <w:t xml:space="preserve">, </w:t>
      </w:r>
      <w:r w:rsidR="7572742B" w:rsidRPr="00C22C47">
        <w:rPr>
          <w:color w:val="000000" w:themeColor="text1"/>
        </w:rPr>
        <w:t xml:space="preserve">and </w:t>
      </w:r>
      <w:r w:rsidR="2C00519B" w:rsidRPr="00C22C47">
        <w:rPr>
          <w:color w:val="000000" w:themeColor="text1"/>
        </w:rPr>
        <w:t>parity and diversity</w:t>
      </w:r>
      <w:r w:rsidR="5B196CEB" w:rsidRPr="00C22C47">
        <w:rPr>
          <w:color w:val="000000" w:themeColor="text1"/>
        </w:rPr>
        <w:t>. It was not immediately clear what third-party frameworks were adopted to calculate these metrics</w:t>
      </w:r>
      <w:r w:rsidR="2FB0B262" w:rsidRPr="00C22C47">
        <w:rPr>
          <w:color w:val="000000" w:themeColor="text1"/>
        </w:rPr>
        <w:t xml:space="preserve"> aside from using the GHG Protocol for emissions reporting. Lastly, the company </w:t>
      </w:r>
      <w:r w:rsidR="005D435B" w:rsidRPr="00C22C47">
        <w:rPr>
          <w:color w:val="000000" w:themeColor="text1"/>
        </w:rPr>
        <w:t>re</w:t>
      </w:r>
      <w:r w:rsidR="2FB0B262" w:rsidRPr="00C22C47">
        <w:rPr>
          <w:color w:val="000000" w:themeColor="text1"/>
        </w:rPr>
        <w:t xml:space="preserve">iterated its support and commitment to the UN’s Sustainable Development </w:t>
      </w:r>
      <w:r w:rsidR="0333A7BB" w:rsidRPr="00C22C47">
        <w:rPr>
          <w:color w:val="000000" w:themeColor="text1"/>
        </w:rPr>
        <w:t xml:space="preserve">Goals as well as sustainability frameworks by TCFD, </w:t>
      </w:r>
      <w:r w:rsidR="008634CE" w:rsidRPr="00C22C47">
        <w:rPr>
          <w:color w:val="000000" w:themeColor="text1"/>
        </w:rPr>
        <w:t>Sustainable Accounting Standards Board (</w:t>
      </w:r>
      <w:r w:rsidR="0333A7BB" w:rsidRPr="00C22C47">
        <w:rPr>
          <w:color w:val="000000" w:themeColor="text1"/>
        </w:rPr>
        <w:t>SASB</w:t>
      </w:r>
      <w:r w:rsidR="008634CE" w:rsidRPr="00C22C47">
        <w:rPr>
          <w:color w:val="000000" w:themeColor="text1"/>
        </w:rPr>
        <w:t>)</w:t>
      </w:r>
      <w:r w:rsidR="0333A7BB" w:rsidRPr="00C22C47">
        <w:rPr>
          <w:color w:val="000000" w:themeColor="text1"/>
        </w:rPr>
        <w:t xml:space="preserve"> and </w:t>
      </w:r>
      <w:r w:rsidR="008634CE" w:rsidRPr="00C22C47">
        <w:rPr>
          <w:color w:val="000000" w:themeColor="text1"/>
        </w:rPr>
        <w:t>Global Reporting Initiative (</w:t>
      </w:r>
      <w:r w:rsidR="0333A7BB" w:rsidRPr="00C22C47">
        <w:rPr>
          <w:color w:val="000000" w:themeColor="text1"/>
        </w:rPr>
        <w:t>GRI</w:t>
      </w:r>
      <w:r w:rsidR="008634CE" w:rsidRPr="00C22C47">
        <w:rPr>
          <w:color w:val="000000" w:themeColor="text1"/>
        </w:rPr>
        <w:t>)</w:t>
      </w:r>
      <w:r w:rsidR="0333A7BB" w:rsidRPr="00C22C47">
        <w:rPr>
          <w:color w:val="000000" w:themeColor="text1"/>
        </w:rPr>
        <w:t>.</w:t>
      </w:r>
    </w:p>
    <w:p w14:paraId="48224B63" w14:textId="65D1A067" w:rsidR="5E6DC2FD" w:rsidRPr="00C22C47" w:rsidRDefault="77B976B7" w:rsidP="00FB3C63">
      <w:pPr>
        <w:rPr>
          <w:color w:val="000000" w:themeColor="text1"/>
        </w:rPr>
      </w:pPr>
      <w:r w:rsidRPr="00C22C47">
        <w:rPr>
          <w:color w:val="000000" w:themeColor="text1"/>
        </w:rPr>
        <w:t xml:space="preserve">The dramatic difference and depth of metrics reported and frameworks used here </w:t>
      </w:r>
      <w:r w:rsidR="3CBA3D91" w:rsidRPr="00C22C47">
        <w:rPr>
          <w:color w:val="000000" w:themeColor="text1"/>
        </w:rPr>
        <w:t xml:space="preserve">are indicative of </w:t>
      </w:r>
      <w:r w:rsidRPr="00C22C47">
        <w:rPr>
          <w:color w:val="000000" w:themeColor="text1"/>
        </w:rPr>
        <w:t xml:space="preserve">lack of </w:t>
      </w:r>
      <w:r w:rsidR="62E817E8" w:rsidRPr="00C22C47">
        <w:rPr>
          <w:color w:val="000000" w:themeColor="text1"/>
        </w:rPr>
        <w:t>clear sustainability</w:t>
      </w:r>
      <w:r w:rsidRPr="00C22C47">
        <w:rPr>
          <w:color w:val="000000" w:themeColor="text1"/>
        </w:rPr>
        <w:t xml:space="preserve"> standards and regulation</w:t>
      </w:r>
      <w:r w:rsidR="5D14AC0C" w:rsidRPr="00C22C47">
        <w:rPr>
          <w:color w:val="000000" w:themeColor="text1"/>
        </w:rPr>
        <w:t xml:space="preserve"> which is a key hurdle in adopting any sustainability framework. </w:t>
      </w:r>
    </w:p>
    <w:p w14:paraId="00655187" w14:textId="4F0434A1" w:rsidR="5E6DC2FD" w:rsidRPr="00C22C47" w:rsidRDefault="0112B610" w:rsidP="00F80D1B">
      <w:pPr>
        <w:pStyle w:val="Heading2"/>
      </w:pPr>
      <w:bookmarkStart w:id="15" w:name="_Toc146147232"/>
      <w:r w:rsidRPr="00C22C47">
        <w:t>Sustainability Organizations</w:t>
      </w:r>
      <w:r w:rsidR="46622757" w:rsidRPr="00C22C47">
        <w:t xml:space="preserve"> and Frameworks</w:t>
      </w:r>
      <w:bookmarkEnd w:id="15"/>
    </w:p>
    <w:p w14:paraId="52B3D901" w14:textId="088A0A46" w:rsidR="46622757" w:rsidRPr="00C22C47" w:rsidRDefault="46622757" w:rsidP="00FB3C63">
      <w:pPr>
        <w:rPr>
          <w:color w:val="000000" w:themeColor="text1"/>
        </w:rPr>
      </w:pPr>
      <w:r w:rsidRPr="00C22C47">
        <w:rPr>
          <w:color w:val="000000" w:themeColor="text1"/>
        </w:rPr>
        <w:t xml:space="preserve">Given the lack of clear regulatory requirements for sustainability metrics, a number of organizations have been formed to assist companies with self-reporting of a wide, diverse </w:t>
      </w:r>
      <w:r w:rsidR="34B045D5" w:rsidRPr="00C22C47">
        <w:rPr>
          <w:color w:val="000000" w:themeColor="text1"/>
        </w:rPr>
        <w:t>set of metrics. These organizations include:</w:t>
      </w:r>
    </w:p>
    <w:p w14:paraId="09900EDF" w14:textId="3F4100B6" w:rsidR="002B574F" w:rsidRPr="00C22C47" w:rsidRDefault="60EC91E4" w:rsidP="00FB3C63">
      <w:pPr>
        <w:rPr>
          <w:color w:val="000000" w:themeColor="text1"/>
        </w:rPr>
      </w:pPr>
      <w:r w:rsidRPr="00C22C47">
        <w:rPr>
          <w:b/>
          <w:bCs/>
          <w:color w:val="000000" w:themeColor="text1"/>
        </w:rPr>
        <w:t>SASB</w:t>
      </w:r>
      <w:r w:rsidR="65C1AD08" w:rsidRPr="00C22C47">
        <w:rPr>
          <w:b/>
          <w:bCs/>
          <w:color w:val="000000" w:themeColor="text1"/>
        </w:rPr>
        <w:t xml:space="preserve"> (Sustainability Accounting Standards Board)</w:t>
      </w:r>
      <w:r w:rsidR="7F9AA14E" w:rsidRPr="00C22C47">
        <w:rPr>
          <w:b/>
          <w:bCs/>
          <w:color w:val="000000" w:themeColor="text1"/>
        </w:rPr>
        <w:t xml:space="preserve"> -</w:t>
      </w:r>
      <w:r w:rsidR="00F76E69" w:rsidRPr="00C22C47">
        <w:rPr>
          <w:color w:val="000000" w:themeColor="text1"/>
        </w:rPr>
        <w:t xml:space="preserve"> The International Sustainability Standards Board (ISSB) of the IFRS foundation now assumes responsibility for the SASB standards. These are available for 77 industries</w:t>
      </w:r>
      <w:r w:rsidR="008B3766" w:rsidRPr="00C22C47">
        <w:rPr>
          <w:color w:val="000000" w:themeColor="text1"/>
        </w:rPr>
        <w:t xml:space="preserve"> and help companies disclose relevant sustainability information to their investors. </w:t>
      </w:r>
    </w:p>
    <w:p w14:paraId="3FAA3C59" w14:textId="68C9EA2A" w:rsidR="00214D5B" w:rsidRPr="00C22C47" w:rsidRDefault="60EC91E4" w:rsidP="00FB3C63">
      <w:pPr>
        <w:rPr>
          <w:color w:val="000000" w:themeColor="text1"/>
        </w:rPr>
      </w:pPr>
      <w:r w:rsidRPr="00C22C47">
        <w:rPr>
          <w:b/>
          <w:bCs/>
          <w:color w:val="000000" w:themeColor="text1"/>
        </w:rPr>
        <w:t>GRI</w:t>
      </w:r>
      <w:r w:rsidR="3B34B2BE" w:rsidRPr="00C22C47">
        <w:rPr>
          <w:b/>
          <w:bCs/>
          <w:color w:val="000000" w:themeColor="text1"/>
        </w:rPr>
        <w:t xml:space="preserve"> (Global Reporting Initiative)</w:t>
      </w:r>
      <w:r w:rsidR="00214D5B" w:rsidRPr="00C22C47">
        <w:rPr>
          <w:color w:val="000000" w:themeColor="text1"/>
        </w:rPr>
        <w:t xml:space="preserve"> </w:t>
      </w:r>
      <w:r w:rsidR="18974449" w:rsidRPr="00C22C47">
        <w:rPr>
          <w:color w:val="000000" w:themeColor="text1"/>
        </w:rPr>
        <w:t xml:space="preserve">- </w:t>
      </w:r>
      <w:r w:rsidR="00214D5B" w:rsidRPr="00C22C47">
        <w:rPr>
          <w:color w:val="000000" w:themeColor="text1"/>
        </w:rPr>
        <w:t>Covers more topics such as labor/management relations, occupational health and safety, training and education, diversity and equal opportunity, non-discrimination</w:t>
      </w:r>
      <w:r w:rsidR="00C86FEF" w:rsidRPr="00C22C47">
        <w:rPr>
          <w:color w:val="000000" w:themeColor="text1"/>
        </w:rPr>
        <w:t xml:space="preserve">, and </w:t>
      </w:r>
      <w:r w:rsidR="005C55C0" w:rsidRPr="00C22C47">
        <w:rPr>
          <w:color w:val="000000" w:themeColor="text1"/>
        </w:rPr>
        <w:t xml:space="preserve">impact to </w:t>
      </w:r>
      <w:r w:rsidR="00C86FEF" w:rsidRPr="00C22C47">
        <w:rPr>
          <w:color w:val="000000" w:themeColor="text1"/>
          <w:u w:val="single"/>
        </w:rPr>
        <w:t>local communities</w:t>
      </w:r>
      <w:r w:rsidR="00C86FEF" w:rsidRPr="00C22C47">
        <w:rPr>
          <w:color w:val="000000" w:themeColor="text1"/>
        </w:rPr>
        <w:t xml:space="preserve"> to name a few.</w:t>
      </w:r>
      <w:r w:rsidR="001A78B9" w:rsidRPr="00C22C47">
        <w:rPr>
          <w:color w:val="000000" w:themeColor="text1"/>
        </w:rPr>
        <w:t xml:space="preserve"> Might have some quantifiable metrics. </w:t>
      </w:r>
      <w:r w:rsidR="6A385F05" w:rsidRPr="00C22C47">
        <w:rPr>
          <w:color w:val="000000" w:themeColor="text1"/>
        </w:rPr>
        <w:t>GRI provides standards and guidance for sustainability reporting on economic, environmental, and social impacts. One of the most widely adopted corporate sustainability reporting frameworks globally.</w:t>
      </w:r>
    </w:p>
    <w:p w14:paraId="7DB131E1" w14:textId="77777777" w:rsidR="00027416" w:rsidRPr="00C22C47" w:rsidRDefault="00027416" w:rsidP="00027416">
      <w:pPr>
        <w:pStyle w:val="Subtitle"/>
      </w:pPr>
      <w:r w:rsidRPr="00C22C47">
        <w:rPr>
          <w:noProof/>
        </w:rPr>
        <w:drawing>
          <wp:inline distT="0" distB="0" distL="0" distR="0" wp14:anchorId="11D37223" wp14:editId="77CE63AE">
            <wp:extent cx="5943600" cy="3747451"/>
            <wp:effectExtent l="0" t="0" r="0" b="5715"/>
            <wp:docPr id="184266566" name="Picture 18426656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900609"/>
                    <pic:cNvPicPr/>
                  </pic:nvPicPr>
                  <pic:blipFill rotWithShape="1">
                    <a:blip r:embed="rId20">
                      <a:extLst>
                        <a:ext uri="{28A0092B-C50C-407E-A947-70E740481C1C}">
                          <a14:useLocalDpi xmlns:a14="http://schemas.microsoft.com/office/drawing/2010/main" val="0"/>
                        </a:ext>
                      </a:extLst>
                    </a:blip>
                    <a:srcRect t="1015"/>
                    <a:stretch/>
                  </pic:blipFill>
                  <pic:spPr bwMode="auto">
                    <a:xfrm>
                      <a:off x="0" y="0"/>
                      <a:ext cx="5943600" cy="3747451"/>
                    </a:xfrm>
                    <a:prstGeom prst="rect">
                      <a:avLst/>
                    </a:prstGeom>
                    <a:ln>
                      <a:noFill/>
                    </a:ln>
                    <a:extLst>
                      <a:ext uri="{53640926-AAD7-44D8-BBD7-CCE9431645EC}">
                        <a14:shadowObscured xmlns:a14="http://schemas.microsoft.com/office/drawing/2010/main"/>
                      </a:ext>
                    </a:extLst>
                  </pic:spPr>
                </pic:pic>
              </a:graphicData>
            </a:graphic>
          </wp:inline>
        </w:drawing>
      </w:r>
      <w:r w:rsidRPr="00C22C47">
        <w:t xml:space="preserve">Figure </w:t>
      </w:r>
      <w:r w:rsidR="0076009A">
        <w:fldChar w:fldCharType="begin"/>
      </w:r>
      <w:r w:rsidR="0076009A">
        <w:instrText xml:space="preserve"> SEQ Figure \* ARABIC </w:instrText>
      </w:r>
      <w:r w:rsidR="0076009A">
        <w:fldChar w:fldCharType="separate"/>
      </w:r>
      <w:r>
        <w:rPr>
          <w:noProof/>
        </w:rPr>
        <w:t>5</w:t>
      </w:r>
      <w:r w:rsidR="0076009A">
        <w:rPr>
          <w:noProof/>
        </w:rPr>
        <w:fldChar w:fldCharType="end"/>
      </w:r>
      <w:r w:rsidRPr="00C22C47">
        <w:t xml:space="preserve">. </w:t>
      </w:r>
      <w:r w:rsidRPr="00D077F9">
        <w:rPr>
          <w:b w:val="0"/>
          <w:bCs w:val="0"/>
        </w:rPr>
        <w:t>Recommendations and supporting recommended disclosures.</w:t>
      </w:r>
      <w:r w:rsidRPr="00C22C47">
        <w:t xml:space="preserve"> </w:t>
      </w:r>
    </w:p>
    <w:p w14:paraId="4E53CCDB" w14:textId="54F63F41" w:rsidR="60EC91E4" w:rsidRPr="00C22C47" w:rsidRDefault="60EC91E4" w:rsidP="00FB3C63">
      <w:pPr>
        <w:rPr>
          <w:color w:val="000000" w:themeColor="text1"/>
        </w:rPr>
      </w:pPr>
      <w:r w:rsidRPr="00C22C47">
        <w:rPr>
          <w:b/>
          <w:bCs/>
          <w:color w:val="000000" w:themeColor="text1"/>
        </w:rPr>
        <w:t>TCFD</w:t>
      </w:r>
      <w:r w:rsidR="0816FC58" w:rsidRPr="00C22C47">
        <w:rPr>
          <w:b/>
          <w:bCs/>
          <w:color w:val="000000" w:themeColor="text1"/>
        </w:rPr>
        <w:t xml:space="preserve"> (Task Force on Climate-related Financial Disclosures)</w:t>
      </w:r>
      <w:r w:rsidR="000037BA" w:rsidRPr="00C22C47">
        <w:rPr>
          <w:b/>
          <w:bCs/>
          <w:color w:val="000000" w:themeColor="text1"/>
        </w:rPr>
        <w:t xml:space="preserve"> </w:t>
      </w:r>
      <w:r w:rsidR="6DE8BFCC" w:rsidRPr="00C22C47">
        <w:rPr>
          <w:color w:val="000000" w:themeColor="text1"/>
        </w:rPr>
        <w:t>-</w:t>
      </w:r>
      <w:r w:rsidR="6DE8BFCC" w:rsidRPr="00C22C47">
        <w:rPr>
          <w:b/>
          <w:bCs/>
          <w:color w:val="000000" w:themeColor="text1"/>
        </w:rPr>
        <w:t xml:space="preserve"> </w:t>
      </w:r>
      <w:r w:rsidR="000037BA" w:rsidRPr="00C22C47">
        <w:rPr>
          <w:color w:val="000000" w:themeColor="text1"/>
        </w:rPr>
        <w:t xml:space="preserve">Task Force on Climate </w:t>
      </w:r>
      <w:r w:rsidR="009D7870" w:rsidRPr="00C22C47">
        <w:rPr>
          <w:color w:val="000000" w:themeColor="text1"/>
        </w:rPr>
        <w:t>Related Financial Disclosures</w:t>
      </w:r>
      <w:r w:rsidR="000037BA" w:rsidRPr="00C22C47">
        <w:rPr>
          <w:color w:val="000000" w:themeColor="text1"/>
        </w:rPr>
        <w:t>.</w:t>
      </w:r>
      <w:r w:rsidR="009D7870" w:rsidRPr="00C22C47">
        <w:rPr>
          <w:color w:val="000000" w:themeColor="text1"/>
        </w:rPr>
        <w:t xml:space="preserve"> </w:t>
      </w:r>
      <w:r w:rsidR="00B81897" w:rsidRPr="00C22C47">
        <w:rPr>
          <w:color w:val="000000" w:themeColor="text1"/>
        </w:rPr>
        <w:t xml:space="preserve">Suggested recommendations for reporting on relevant metrics that can be </w:t>
      </w:r>
      <w:r w:rsidR="009F1E14" w:rsidRPr="00C22C47">
        <w:rPr>
          <w:color w:val="000000" w:themeColor="text1"/>
        </w:rPr>
        <w:t>put into mainstream financial reports.</w:t>
      </w:r>
      <w:r w:rsidR="00A56139" w:rsidRPr="00C22C47">
        <w:rPr>
          <w:color w:val="000000" w:themeColor="text1"/>
        </w:rPr>
        <w:t xml:space="preserve"> </w:t>
      </w:r>
      <w:r w:rsidR="2BBD867F" w:rsidRPr="00C22C47">
        <w:rPr>
          <w:color w:val="000000" w:themeColor="text1"/>
        </w:rPr>
        <w:t xml:space="preserve">Focused on the financial sector but relevant across industries. </w:t>
      </w:r>
      <w:r w:rsidR="00A56139" w:rsidRPr="00C22C47">
        <w:rPr>
          <w:color w:val="000000" w:themeColor="text1"/>
        </w:rPr>
        <w:t>Chaired by Michael Bloomberg.</w:t>
      </w:r>
    </w:p>
    <w:p w14:paraId="2F58146F" w14:textId="5E9F4CC3" w:rsidR="7E5BAF1B" w:rsidRPr="00C22C47" w:rsidRDefault="7E5BAF1B" w:rsidP="00FB3C63">
      <w:pPr>
        <w:rPr>
          <w:b/>
          <w:bCs/>
          <w:color w:val="000000" w:themeColor="text1"/>
        </w:rPr>
      </w:pPr>
      <w:r w:rsidRPr="00C22C47">
        <w:rPr>
          <w:b/>
          <w:bCs/>
          <w:color w:val="000000" w:themeColor="text1"/>
        </w:rPr>
        <w:t xml:space="preserve">CDP </w:t>
      </w:r>
      <w:r w:rsidR="2F475EF9" w:rsidRPr="00C22C47">
        <w:rPr>
          <w:b/>
          <w:bCs/>
          <w:color w:val="000000" w:themeColor="text1"/>
        </w:rPr>
        <w:t>(formerly Carbon Disclosure Project)</w:t>
      </w:r>
      <w:r w:rsidR="7EDE76B3" w:rsidRPr="00C22C47">
        <w:rPr>
          <w:b/>
          <w:bCs/>
          <w:color w:val="000000" w:themeColor="text1"/>
        </w:rPr>
        <w:t xml:space="preserve"> </w:t>
      </w:r>
      <w:r w:rsidR="7EDE76B3" w:rsidRPr="00C22C47">
        <w:rPr>
          <w:color w:val="000000" w:themeColor="text1"/>
        </w:rPr>
        <w:t>- Provides a disclosure system for companies, cities, and states to manage environmental impacts, mainly focused on climate change and water security.</w:t>
      </w:r>
    </w:p>
    <w:p w14:paraId="0245E360" w14:textId="4EC5EBBC" w:rsidR="2F475EF9" w:rsidRPr="00C22C47" w:rsidRDefault="2F475EF9" w:rsidP="00FB3C63">
      <w:pPr>
        <w:rPr>
          <w:color w:val="000000" w:themeColor="text1"/>
        </w:rPr>
      </w:pPr>
      <w:r w:rsidRPr="00C22C47">
        <w:rPr>
          <w:b/>
          <w:bCs/>
          <w:color w:val="000000" w:themeColor="text1"/>
        </w:rPr>
        <w:t>IIRC (International Integrated Reporting Council)</w:t>
      </w:r>
      <w:r w:rsidR="514077BF" w:rsidRPr="00C22C47">
        <w:rPr>
          <w:color w:val="000000" w:themeColor="text1"/>
        </w:rPr>
        <w:t xml:space="preserve"> - Calls for integrated reporting across financial and non-financial performance, including sustainability. Provides a principles-based framework.</w:t>
      </w:r>
    </w:p>
    <w:p w14:paraId="61D042EC" w14:textId="05EE27CE" w:rsidR="2F475EF9" w:rsidRPr="00C22C47" w:rsidRDefault="2F475EF9" w:rsidP="00FB3C63">
      <w:pPr>
        <w:rPr>
          <w:b/>
          <w:bCs/>
          <w:color w:val="000000" w:themeColor="text1"/>
        </w:rPr>
      </w:pPr>
      <w:r w:rsidRPr="00C22C47">
        <w:rPr>
          <w:b/>
          <w:bCs/>
          <w:color w:val="000000" w:themeColor="text1"/>
        </w:rPr>
        <w:t>DJSI (Dow Jones Sustainability Indices)</w:t>
      </w:r>
      <w:r w:rsidR="2DF73D4A" w:rsidRPr="00C22C47">
        <w:rPr>
          <w:b/>
          <w:bCs/>
          <w:color w:val="000000" w:themeColor="text1"/>
        </w:rPr>
        <w:t xml:space="preserve"> </w:t>
      </w:r>
      <w:r w:rsidR="2DF73D4A" w:rsidRPr="00C22C47">
        <w:rPr>
          <w:color w:val="000000" w:themeColor="text1"/>
        </w:rPr>
        <w:t xml:space="preserve">- </w:t>
      </w:r>
      <w:proofErr w:type="spellStart"/>
      <w:r w:rsidR="2DF73D4A" w:rsidRPr="00C22C47">
        <w:rPr>
          <w:color w:val="000000" w:themeColor="text1"/>
        </w:rPr>
        <w:t>Bechmarks</w:t>
      </w:r>
      <w:proofErr w:type="spellEnd"/>
      <w:r w:rsidR="2DF73D4A" w:rsidRPr="00C22C47">
        <w:rPr>
          <w:color w:val="000000" w:themeColor="text1"/>
        </w:rPr>
        <w:t xml:space="preserve"> sustainability performance of the largest companies based on </w:t>
      </w:r>
      <w:proofErr w:type="spellStart"/>
      <w:r w:rsidR="2DF73D4A" w:rsidRPr="00C22C47">
        <w:rPr>
          <w:color w:val="000000" w:themeColor="text1"/>
        </w:rPr>
        <w:t>RobecoSAM’s</w:t>
      </w:r>
      <w:proofErr w:type="spellEnd"/>
      <w:r w:rsidR="2DF73D4A" w:rsidRPr="00C22C47">
        <w:rPr>
          <w:color w:val="000000" w:themeColor="text1"/>
        </w:rPr>
        <w:t xml:space="preserve"> Corporate Sustainability Assessment. </w:t>
      </w:r>
    </w:p>
    <w:p w14:paraId="31E1ABA7" w14:textId="2AFA17AA" w:rsidR="2F475EF9" w:rsidRPr="00C22C47" w:rsidRDefault="2F475EF9" w:rsidP="00FB3C63">
      <w:pPr>
        <w:rPr>
          <w:b/>
          <w:bCs/>
          <w:color w:val="000000" w:themeColor="text1"/>
        </w:rPr>
      </w:pPr>
      <w:r w:rsidRPr="00C22C47">
        <w:rPr>
          <w:b/>
          <w:bCs/>
          <w:color w:val="000000" w:themeColor="text1"/>
        </w:rPr>
        <w:t>B Corp Certification</w:t>
      </w:r>
      <w:r w:rsidR="3522BA7F" w:rsidRPr="00C22C47">
        <w:rPr>
          <w:color w:val="000000" w:themeColor="text1"/>
        </w:rPr>
        <w:t xml:space="preserve"> – Granted to for-profit companies that meet standards of social and environmental performance, accountability, and transparency. </w:t>
      </w:r>
      <w:proofErr w:type="spellStart"/>
      <w:r w:rsidR="3522BA7F" w:rsidRPr="00C22C47">
        <w:rPr>
          <w:color w:val="000000" w:themeColor="text1"/>
        </w:rPr>
        <w:t>Adminstered</w:t>
      </w:r>
      <w:proofErr w:type="spellEnd"/>
      <w:r w:rsidR="3522BA7F" w:rsidRPr="00C22C47">
        <w:rPr>
          <w:color w:val="000000" w:themeColor="text1"/>
        </w:rPr>
        <w:t xml:space="preserve"> by the non-profit B Lab.</w:t>
      </w:r>
    </w:p>
    <w:p w14:paraId="1074B3AD" w14:textId="6B78B071" w:rsidR="00027416" w:rsidRDefault="2F475EF9" w:rsidP="00027416">
      <w:pPr>
        <w:rPr>
          <w:color w:val="000000" w:themeColor="text1"/>
        </w:rPr>
      </w:pPr>
      <w:r w:rsidRPr="00C22C47">
        <w:rPr>
          <w:b/>
          <w:bCs/>
          <w:color w:val="000000" w:themeColor="text1"/>
        </w:rPr>
        <w:t>ISO Standards</w:t>
      </w:r>
      <w:r w:rsidR="7CACAD19" w:rsidRPr="00C22C47">
        <w:rPr>
          <w:b/>
          <w:bCs/>
          <w:color w:val="000000" w:themeColor="text1"/>
        </w:rPr>
        <w:t xml:space="preserve"> (ISO 14001, 45001, 50001) </w:t>
      </w:r>
      <w:r w:rsidR="7CACAD19" w:rsidRPr="00C22C47">
        <w:rPr>
          <w:color w:val="000000" w:themeColor="text1"/>
        </w:rPr>
        <w:t>- International standards around environmental management, occupational health and safety, and energy management systems.</w:t>
      </w:r>
    </w:p>
    <w:p w14:paraId="1377E6AE" w14:textId="46A417A1" w:rsidR="00622529" w:rsidRPr="00C22C47" w:rsidRDefault="00622529" w:rsidP="00FB3C63">
      <w:pPr>
        <w:rPr>
          <w:color w:val="000000" w:themeColor="text1"/>
        </w:rPr>
      </w:pPr>
      <w:bookmarkStart w:id="16" w:name="_Toc146147235"/>
      <w:bookmarkStart w:id="17" w:name="_Toc146147236"/>
      <w:bookmarkEnd w:id="16"/>
      <w:bookmarkEnd w:id="17"/>
    </w:p>
    <w:p w14:paraId="05F41E97" w14:textId="5D0FBD86" w:rsidR="4702BE58" w:rsidRPr="00C22C47" w:rsidRDefault="0021259B" w:rsidP="00F80D1B">
      <w:pPr>
        <w:pStyle w:val="Heading2"/>
      </w:pPr>
      <w:bookmarkStart w:id="18" w:name="_Toc146147238"/>
      <w:bookmarkStart w:id="19" w:name="_Toc146147239"/>
      <w:bookmarkStart w:id="20" w:name="_Toc146147240"/>
      <w:bookmarkEnd w:id="18"/>
      <w:bookmarkEnd w:id="19"/>
      <w:r w:rsidRPr="00C22C47">
        <w:t>Sustainability Framework</w:t>
      </w:r>
      <w:r w:rsidR="00D2196C" w:rsidRPr="00C22C47">
        <w:t xml:space="preserve"> Reviewing Approach</w:t>
      </w:r>
      <w:bookmarkEnd w:id="20"/>
    </w:p>
    <w:p w14:paraId="37550766" w14:textId="77777777" w:rsidR="00A06FB3" w:rsidRDefault="00C77BB0" w:rsidP="00A06FB3">
      <w:pPr>
        <w:rPr>
          <w:color w:val="000000" w:themeColor="text1"/>
        </w:rPr>
      </w:pPr>
      <w:r w:rsidRPr="00C22C47">
        <w:rPr>
          <w:color w:val="000000" w:themeColor="text1"/>
        </w:rPr>
        <w:t xml:space="preserve">This section covers the </w:t>
      </w:r>
      <w:r w:rsidR="000F0BD3" w:rsidRPr="00C22C47">
        <w:rPr>
          <w:color w:val="000000" w:themeColor="text1"/>
        </w:rPr>
        <w:t xml:space="preserve">sustainability metrics used within the available sustainability standards. </w:t>
      </w:r>
      <w:r w:rsidR="006664CA" w:rsidRPr="00C22C47">
        <w:rPr>
          <w:color w:val="000000" w:themeColor="text1"/>
        </w:rPr>
        <w:t xml:space="preserve">For this </w:t>
      </w:r>
      <w:r w:rsidR="0000325E" w:rsidRPr="00C22C47">
        <w:rPr>
          <w:color w:val="000000" w:themeColor="text1"/>
        </w:rPr>
        <w:t>section</w:t>
      </w:r>
      <w:r w:rsidR="006664CA" w:rsidRPr="00C22C47">
        <w:rPr>
          <w:color w:val="000000" w:themeColor="text1"/>
        </w:rPr>
        <w:t xml:space="preserve">, SASB and GRI’s comprehensive standards were considered and shortlisted as per relevance to energy and infrastructure industry. </w:t>
      </w:r>
      <w:r w:rsidR="0000325E" w:rsidRPr="00C22C47">
        <w:rPr>
          <w:color w:val="000000" w:themeColor="text1"/>
        </w:rPr>
        <w:t>The</w:t>
      </w:r>
      <w:r w:rsidR="007127AC" w:rsidRPr="00C22C47">
        <w:rPr>
          <w:color w:val="000000" w:themeColor="text1"/>
        </w:rPr>
        <w:t xml:space="preserve"> approach adopted for shortlisting of these metrics can be seen </w:t>
      </w:r>
      <w:r w:rsidR="00463E6A" w:rsidRPr="00C22C47">
        <w:rPr>
          <w:color w:val="000000" w:themeColor="text1"/>
        </w:rPr>
        <w:t xml:space="preserve">as following in the illustration. </w:t>
      </w:r>
    </w:p>
    <w:p w14:paraId="637AE79D" w14:textId="36034AB0" w:rsidR="005002B9" w:rsidRPr="00C22C47" w:rsidRDefault="005002B9" w:rsidP="00A06FB3">
      <w:pPr>
        <w:spacing w:after="0"/>
        <w:rPr>
          <w:color w:val="000000" w:themeColor="text1"/>
        </w:rPr>
      </w:pPr>
      <w:r w:rsidRPr="00C22C47">
        <w:rPr>
          <w:noProof/>
          <w:color w:val="000000" w:themeColor="text1"/>
        </w:rPr>
        <w:drawing>
          <wp:inline distT="0" distB="0" distL="0" distR="0" wp14:anchorId="5E75252B" wp14:editId="2DA9FE1C">
            <wp:extent cx="5943600" cy="3914775"/>
            <wp:effectExtent l="0" t="0" r="0" b="9525"/>
            <wp:docPr id="2116611817" name="Picture 21166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1181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3914775"/>
                    </a:xfrm>
                    <a:prstGeom prst="rect">
                      <a:avLst/>
                    </a:prstGeom>
                  </pic:spPr>
                </pic:pic>
              </a:graphicData>
            </a:graphic>
          </wp:inline>
        </w:drawing>
      </w:r>
    </w:p>
    <w:p w14:paraId="29A7B0D4" w14:textId="03D44433" w:rsidR="005002B9" w:rsidRPr="00C22C47" w:rsidRDefault="005002B9" w:rsidP="00A06FB3">
      <w:pPr>
        <w:pStyle w:val="Subtitle"/>
        <w:spacing w:before="0"/>
        <w:rPr>
          <w:color w:val="000000" w:themeColor="text1"/>
        </w:rPr>
      </w:pPr>
      <w:r w:rsidRPr="00C22C47">
        <w:rPr>
          <w:color w:val="000000" w:themeColor="text1"/>
        </w:rPr>
        <w:t xml:space="preserve">Figure </w:t>
      </w:r>
      <w:r w:rsidRPr="00C22C47">
        <w:rPr>
          <w:color w:val="000000" w:themeColor="text1"/>
        </w:rPr>
        <w:fldChar w:fldCharType="begin"/>
      </w:r>
      <w:r w:rsidRPr="00C22C47">
        <w:rPr>
          <w:color w:val="000000" w:themeColor="text1"/>
        </w:rPr>
        <w:instrText xml:space="preserve"> SEQ Figure \* ARABIC </w:instrText>
      </w:r>
      <w:r w:rsidRPr="00C22C47">
        <w:rPr>
          <w:color w:val="000000" w:themeColor="text1"/>
        </w:rPr>
        <w:fldChar w:fldCharType="separate"/>
      </w:r>
      <w:r w:rsidR="00750C9C">
        <w:rPr>
          <w:noProof/>
          <w:color w:val="000000" w:themeColor="text1"/>
        </w:rPr>
        <w:t>6</w:t>
      </w:r>
      <w:r w:rsidRPr="00C22C47">
        <w:rPr>
          <w:color w:val="000000" w:themeColor="text1"/>
        </w:rPr>
        <w:fldChar w:fldCharType="end"/>
      </w:r>
      <w:r w:rsidRPr="00C22C47">
        <w:rPr>
          <w:color w:val="000000" w:themeColor="text1"/>
        </w:rPr>
        <w:t xml:space="preserve">. </w:t>
      </w:r>
      <w:r w:rsidR="0000325E" w:rsidRPr="00C22C47">
        <w:rPr>
          <w:b w:val="0"/>
          <w:bCs w:val="0"/>
          <w:color w:val="000000" w:themeColor="text1"/>
        </w:rPr>
        <w:t>Shortlisting approach for sustainability standards framework – SASB &amp; GRI</w:t>
      </w:r>
      <w:r w:rsidR="0000325E" w:rsidRPr="00C22C47">
        <w:rPr>
          <w:color w:val="000000" w:themeColor="text1"/>
        </w:rPr>
        <w:t xml:space="preserve"> </w:t>
      </w:r>
    </w:p>
    <w:p w14:paraId="76383DAA" w14:textId="66A287C2" w:rsidR="0000325E" w:rsidRPr="00C22C47" w:rsidRDefault="0000325E" w:rsidP="0000325E">
      <w:pPr>
        <w:rPr>
          <w:color w:val="000000" w:themeColor="text1"/>
        </w:rPr>
      </w:pPr>
      <w:r w:rsidRPr="00C22C47">
        <w:rPr>
          <w:color w:val="000000" w:themeColor="text1"/>
        </w:rPr>
        <w:t>The shortlisted metrics are shown below under individual headings.</w:t>
      </w:r>
    </w:p>
    <w:p w14:paraId="7C564EBF" w14:textId="407FA817" w:rsidR="009D3769" w:rsidRPr="00C22C47" w:rsidRDefault="0629029B" w:rsidP="005F2F08">
      <w:pPr>
        <w:pStyle w:val="Heading3"/>
      </w:pPr>
      <w:bookmarkStart w:id="21" w:name="_Toc146147241"/>
      <w:r w:rsidRPr="00C22C47">
        <w:t xml:space="preserve">Economic </w:t>
      </w:r>
      <w:r w:rsidR="18D893A5" w:rsidRPr="00C22C47">
        <w:t>Objectives</w:t>
      </w:r>
      <w:bookmarkEnd w:id="21"/>
    </w:p>
    <w:p w14:paraId="0387F7B7" w14:textId="05CDC416" w:rsidR="0000325E" w:rsidRPr="00C22C47" w:rsidRDefault="004A40FE" w:rsidP="0000325E">
      <w:pPr>
        <w:pStyle w:val="Subtitle"/>
        <w:rPr>
          <w:color w:val="000000" w:themeColor="text1"/>
        </w:rPr>
      </w:pPr>
      <w:r w:rsidRPr="00C22C47">
        <w:rPr>
          <w:color w:val="000000" w:themeColor="text1"/>
        </w:rPr>
        <w:t xml:space="preserve">Table </w:t>
      </w:r>
      <w:r w:rsidR="00920C73" w:rsidRPr="00C22C47">
        <w:rPr>
          <w:color w:val="000000" w:themeColor="text1"/>
        </w:rPr>
        <w:fldChar w:fldCharType="begin"/>
      </w:r>
      <w:r w:rsidR="00920C73" w:rsidRPr="00C22C47">
        <w:rPr>
          <w:color w:val="000000" w:themeColor="text1"/>
        </w:rPr>
        <w:instrText xml:space="preserve"> SEQ Table \* ARABIC </w:instrText>
      </w:r>
      <w:r w:rsidR="00920C73" w:rsidRPr="00C22C47">
        <w:rPr>
          <w:color w:val="000000" w:themeColor="text1"/>
        </w:rPr>
        <w:fldChar w:fldCharType="separate"/>
      </w:r>
      <w:r w:rsidR="00B01D58">
        <w:rPr>
          <w:noProof/>
          <w:color w:val="000000" w:themeColor="text1"/>
        </w:rPr>
        <w:t>3</w:t>
      </w:r>
      <w:r w:rsidR="00920C73" w:rsidRPr="00C22C47">
        <w:rPr>
          <w:noProof/>
          <w:color w:val="000000" w:themeColor="text1"/>
        </w:rPr>
        <w:fldChar w:fldCharType="end"/>
      </w:r>
      <w:r w:rsidRPr="00C22C47">
        <w:rPr>
          <w:color w:val="000000" w:themeColor="text1"/>
        </w:rPr>
        <w:t xml:space="preserve">. SASB, GRI and SDG overlapping metrics divided into major and subcategories under the broader </w:t>
      </w:r>
      <w:r w:rsidR="00BF150F" w:rsidRPr="00C22C47">
        <w:rPr>
          <w:color w:val="000000" w:themeColor="text1"/>
        </w:rPr>
        <w:t>economic</w:t>
      </w:r>
      <w:r w:rsidRPr="00C22C47">
        <w:rPr>
          <w:color w:val="000000" w:themeColor="text1"/>
        </w:rPr>
        <w:t xml:space="preserve"> aspect. </w:t>
      </w:r>
    </w:p>
    <w:tbl>
      <w:tblPr>
        <w:tblW w:w="5000" w:type="pct"/>
        <w:jc w:val="center"/>
        <w:tblLook w:val="04A0" w:firstRow="1" w:lastRow="0" w:firstColumn="1" w:lastColumn="0" w:noHBand="0" w:noVBand="1"/>
      </w:tblPr>
      <w:tblGrid>
        <w:gridCol w:w="835"/>
        <w:gridCol w:w="1294"/>
        <w:gridCol w:w="1471"/>
        <w:gridCol w:w="1606"/>
        <w:gridCol w:w="2125"/>
        <w:gridCol w:w="2029"/>
      </w:tblGrid>
      <w:tr w:rsidR="00C22C47" w:rsidRPr="00C22C47" w14:paraId="4C923B7C" w14:textId="77777777" w:rsidTr="0000325E">
        <w:trPr>
          <w:trHeight w:val="302"/>
          <w:tblHeader/>
          <w:jc w:val="center"/>
        </w:trPr>
        <w:tc>
          <w:tcPr>
            <w:tcW w:w="446" w:type="pct"/>
            <w:tcBorders>
              <w:top w:val="single" w:sz="4" w:space="0" w:color="auto"/>
              <w:bottom w:val="single" w:sz="4" w:space="0" w:color="auto"/>
            </w:tcBorders>
            <w:shd w:val="clear" w:color="auto" w:fill="auto"/>
            <w:vAlign w:val="center"/>
            <w:hideMark/>
          </w:tcPr>
          <w:p w14:paraId="24D42162"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Aspect</w:t>
            </w:r>
          </w:p>
        </w:tc>
        <w:tc>
          <w:tcPr>
            <w:tcW w:w="691" w:type="pct"/>
            <w:tcBorders>
              <w:top w:val="single" w:sz="4" w:space="0" w:color="auto"/>
              <w:bottom w:val="single" w:sz="4" w:space="0" w:color="auto"/>
            </w:tcBorders>
            <w:shd w:val="clear" w:color="auto" w:fill="auto"/>
            <w:vAlign w:val="center"/>
            <w:hideMark/>
          </w:tcPr>
          <w:p w14:paraId="79117115"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Category</w:t>
            </w:r>
          </w:p>
        </w:tc>
        <w:tc>
          <w:tcPr>
            <w:tcW w:w="786" w:type="pct"/>
            <w:tcBorders>
              <w:top w:val="single" w:sz="4" w:space="0" w:color="auto"/>
              <w:bottom w:val="single" w:sz="4" w:space="0" w:color="auto"/>
            </w:tcBorders>
            <w:shd w:val="clear" w:color="auto" w:fill="auto"/>
            <w:vAlign w:val="center"/>
            <w:hideMark/>
          </w:tcPr>
          <w:p w14:paraId="2D2C3395"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Sub-Category</w:t>
            </w:r>
          </w:p>
        </w:tc>
        <w:tc>
          <w:tcPr>
            <w:tcW w:w="858" w:type="pct"/>
            <w:tcBorders>
              <w:top w:val="single" w:sz="4" w:space="0" w:color="auto"/>
              <w:bottom w:val="single" w:sz="4" w:space="0" w:color="auto"/>
            </w:tcBorders>
            <w:shd w:val="clear" w:color="auto" w:fill="auto"/>
            <w:vAlign w:val="center"/>
            <w:hideMark/>
          </w:tcPr>
          <w:p w14:paraId="13C3A5D6"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SASB Metrics</w:t>
            </w:r>
          </w:p>
        </w:tc>
        <w:tc>
          <w:tcPr>
            <w:tcW w:w="1135" w:type="pct"/>
            <w:tcBorders>
              <w:top w:val="single" w:sz="4" w:space="0" w:color="auto"/>
              <w:bottom w:val="single" w:sz="4" w:space="0" w:color="auto"/>
            </w:tcBorders>
            <w:shd w:val="clear" w:color="auto" w:fill="auto"/>
            <w:vAlign w:val="center"/>
            <w:hideMark/>
          </w:tcPr>
          <w:p w14:paraId="53BDB9E3"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GRI Metrics</w:t>
            </w:r>
          </w:p>
        </w:tc>
        <w:tc>
          <w:tcPr>
            <w:tcW w:w="1084" w:type="pct"/>
            <w:tcBorders>
              <w:top w:val="single" w:sz="4" w:space="0" w:color="auto"/>
              <w:bottom w:val="single" w:sz="4" w:space="0" w:color="auto"/>
            </w:tcBorders>
            <w:shd w:val="clear" w:color="auto" w:fill="auto"/>
            <w:vAlign w:val="center"/>
            <w:hideMark/>
          </w:tcPr>
          <w:p w14:paraId="30912DAE"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Relevant SDG Goal</w:t>
            </w:r>
          </w:p>
        </w:tc>
      </w:tr>
      <w:tr w:rsidR="00C22C47" w:rsidRPr="00C22C47" w14:paraId="13E0E97F" w14:textId="77777777" w:rsidTr="0000325E">
        <w:trPr>
          <w:trHeight w:val="750"/>
          <w:jc w:val="center"/>
        </w:trPr>
        <w:tc>
          <w:tcPr>
            <w:tcW w:w="446" w:type="pct"/>
            <w:vMerge w:val="restart"/>
            <w:tcBorders>
              <w:top w:val="single" w:sz="4" w:space="0" w:color="auto"/>
              <w:bottom w:val="single" w:sz="4" w:space="0" w:color="auto"/>
            </w:tcBorders>
            <w:shd w:val="clear" w:color="auto" w:fill="auto"/>
            <w:textDirection w:val="btLr"/>
            <w:vAlign w:val="center"/>
            <w:hideMark/>
          </w:tcPr>
          <w:p w14:paraId="6EB31AF4" w14:textId="77777777" w:rsidR="00DF48D3" w:rsidRPr="00D077F9" w:rsidRDefault="00DF48D3" w:rsidP="007D2EB1">
            <w:pPr>
              <w:spacing w:before="0" w:after="0"/>
              <w:jc w:val="center"/>
              <w:rPr>
                <w:color w:val="000000" w:themeColor="text1"/>
                <w:sz w:val="19"/>
                <w:szCs w:val="19"/>
              </w:rPr>
            </w:pPr>
            <w:r w:rsidRPr="00D077F9">
              <w:rPr>
                <w:b/>
                <w:color w:val="000000" w:themeColor="text1"/>
                <w:sz w:val="19"/>
                <w:szCs w:val="19"/>
              </w:rPr>
              <w:t>Economic</w:t>
            </w:r>
          </w:p>
        </w:tc>
        <w:tc>
          <w:tcPr>
            <w:tcW w:w="691" w:type="pct"/>
            <w:vMerge w:val="restart"/>
            <w:tcBorders>
              <w:top w:val="single" w:sz="4" w:space="0" w:color="auto"/>
              <w:bottom w:val="single" w:sz="4" w:space="0" w:color="auto"/>
            </w:tcBorders>
            <w:shd w:val="clear" w:color="auto" w:fill="auto"/>
            <w:vAlign w:val="center"/>
            <w:hideMark/>
          </w:tcPr>
          <w:p w14:paraId="681DEA30"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Ethics &amp; Governance</w:t>
            </w:r>
          </w:p>
        </w:tc>
        <w:tc>
          <w:tcPr>
            <w:tcW w:w="786" w:type="pct"/>
            <w:tcBorders>
              <w:top w:val="single" w:sz="4" w:space="0" w:color="auto"/>
              <w:bottom w:val="single" w:sz="4" w:space="0" w:color="auto"/>
            </w:tcBorders>
            <w:shd w:val="clear" w:color="auto" w:fill="auto"/>
            <w:vAlign w:val="center"/>
            <w:hideMark/>
          </w:tcPr>
          <w:p w14:paraId="5EAE34D6"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Business Ethics</w:t>
            </w:r>
          </w:p>
        </w:tc>
        <w:tc>
          <w:tcPr>
            <w:tcW w:w="858" w:type="pct"/>
            <w:tcBorders>
              <w:top w:val="single" w:sz="4" w:space="0" w:color="auto"/>
              <w:bottom w:val="single" w:sz="4" w:space="0" w:color="auto"/>
            </w:tcBorders>
            <w:shd w:val="clear" w:color="auto" w:fill="auto"/>
            <w:vAlign w:val="center"/>
            <w:hideMark/>
          </w:tcPr>
          <w:p w14:paraId="5C2DEA2E"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Ethical Business Practices, Competitive Behavior, Fair Labor Practices, Ethical Disclosure &amp; Reporting, Fair Pricing &amp; Disclosure, Ethical Payments &amp; Reporting</w:t>
            </w:r>
          </w:p>
        </w:tc>
        <w:tc>
          <w:tcPr>
            <w:tcW w:w="1135" w:type="pct"/>
            <w:tcBorders>
              <w:top w:val="single" w:sz="4" w:space="0" w:color="auto"/>
              <w:bottom w:val="single" w:sz="4" w:space="0" w:color="auto"/>
            </w:tcBorders>
            <w:shd w:val="clear" w:color="auto" w:fill="auto"/>
            <w:vAlign w:val="center"/>
            <w:hideMark/>
          </w:tcPr>
          <w:p w14:paraId="687DCAE3"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Corruption Risk Assessment, Anti-Corruption Training, Confirmed Corruption Incidents, Anti-Competitive Legal Actions, Discrimination Incidents, Political Contributions</w:t>
            </w:r>
          </w:p>
        </w:tc>
        <w:tc>
          <w:tcPr>
            <w:tcW w:w="1084" w:type="pct"/>
            <w:tcBorders>
              <w:top w:val="single" w:sz="4" w:space="0" w:color="auto"/>
              <w:bottom w:val="single" w:sz="4" w:space="0" w:color="auto"/>
            </w:tcBorders>
            <w:shd w:val="clear" w:color="auto" w:fill="auto"/>
            <w:vAlign w:val="center"/>
            <w:hideMark/>
          </w:tcPr>
          <w:p w14:paraId="3CDD610C"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Goal 16: Peace and Justice Strong Institutions</w:t>
            </w:r>
          </w:p>
        </w:tc>
      </w:tr>
      <w:tr w:rsidR="00C22C47" w:rsidRPr="00C22C47" w14:paraId="47244B21" w14:textId="77777777" w:rsidTr="0000325E">
        <w:trPr>
          <w:trHeight w:val="290"/>
          <w:jc w:val="center"/>
        </w:trPr>
        <w:tc>
          <w:tcPr>
            <w:tcW w:w="446" w:type="pct"/>
            <w:vMerge/>
            <w:tcBorders>
              <w:top w:val="single" w:sz="4" w:space="0" w:color="auto"/>
              <w:bottom w:val="single" w:sz="4" w:space="0" w:color="auto"/>
            </w:tcBorders>
            <w:vAlign w:val="center"/>
            <w:hideMark/>
          </w:tcPr>
          <w:p w14:paraId="366A6256" w14:textId="77777777" w:rsidR="00DF48D3" w:rsidRPr="00D077F9" w:rsidRDefault="00DF48D3" w:rsidP="007D2EB1">
            <w:pPr>
              <w:spacing w:before="0" w:after="0"/>
              <w:jc w:val="center"/>
              <w:rPr>
                <w:color w:val="000000" w:themeColor="text1"/>
                <w:sz w:val="19"/>
                <w:szCs w:val="19"/>
              </w:rPr>
            </w:pPr>
          </w:p>
        </w:tc>
        <w:tc>
          <w:tcPr>
            <w:tcW w:w="691" w:type="pct"/>
            <w:vMerge/>
            <w:tcBorders>
              <w:bottom w:val="single" w:sz="4" w:space="0" w:color="auto"/>
            </w:tcBorders>
            <w:vAlign w:val="center"/>
            <w:hideMark/>
          </w:tcPr>
          <w:p w14:paraId="2A4B55BC" w14:textId="77777777" w:rsidR="00DF48D3" w:rsidRPr="00D077F9" w:rsidRDefault="00DF48D3" w:rsidP="007D2EB1">
            <w:pPr>
              <w:spacing w:before="0" w:after="0"/>
              <w:jc w:val="center"/>
              <w:rPr>
                <w:b/>
                <w:color w:val="000000" w:themeColor="text1"/>
                <w:sz w:val="19"/>
                <w:szCs w:val="19"/>
              </w:rPr>
            </w:pPr>
          </w:p>
        </w:tc>
        <w:tc>
          <w:tcPr>
            <w:tcW w:w="786" w:type="pct"/>
            <w:tcBorders>
              <w:top w:val="single" w:sz="4" w:space="0" w:color="auto"/>
              <w:bottom w:val="single" w:sz="4" w:space="0" w:color="auto"/>
            </w:tcBorders>
            <w:shd w:val="clear" w:color="auto" w:fill="auto"/>
            <w:vAlign w:val="center"/>
            <w:hideMark/>
          </w:tcPr>
          <w:p w14:paraId="2724D4A1"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Governance</w:t>
            </w:r>
          </w:p>
        </w:tc>
        <w:tc>
          <w:tcPr>
            <w:tcW w:w="858" w:type="pct"/>
            <w:tcBorders>
              <w:top w:val="single" w:sz="4" w:space="0" w:color="auto"/>
              <w:bottom w:val="single" w:sz="4" w:space="0" w:color="auto"/>
            </w:tcBorders>
            <w:shd w:val="clear" w:color="auto" w:fill="auto"/>
            <w:vAlign w:val="center"/>
            <w:hideMark/>
          </w:tcPr>
          <w:p w14:paraId="4AFDFB54"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w:t>
            </w:r>
          </w:p>
        </w:tc>
        <w:tc>
          <w:tcPr>
            <w:tcW w:w="1135" w:type="pct"/>
            <w:tcBorders>
              <w:top w:val="single" w:sz="4" w:space="0" w:color="auto"/>
              <w:bottom w:val="single" w:sz="4" w:space="0" w:color="auto"/>
            </w:tcBorders>
            <w:shd w:val="clear" w:color="auto" w:fill="auto"/>
            <w:vAlign w:val="center"/>
            <w:hideMark/>
          </w:tcPr>
          <w:p w14:paraId="0C9FB35D"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Governance &amp; Employee Diversity</w:t>
            </w:r>
          </w:p>
        </w:tc>
        <w:tc>
          <w:tcPr>
            <w:tcW w:w="1084" w:type="pct"/>
            <w:tcBorders>
              <w:top w:val="single" w:sz="4" w:space="0" w:color="auto"/>
              <w:bottom w:val="single" w:sz="4" w:space="0" w:color="auto"/>
            </w:tcBorders>
            <w:shd w:val="clear" w:color="auto" w:fill="auto"/>
            <w:vAlign w:val="center"/>
            <w:hideMark/>
          </w:tcPr>
          <w:p w14:paraId="65B0B533"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Goal 16: Peace and Justice Strong Institutions</w:t>
            </w:r>
          </w:p>
        </w:tc>
      </w:tr>
      <w:tr w:rsidR="00C22C47" w:rsidRPr="00C22C47" w14:paraId="25146F0C" w14:textId="77777777" w:rsidTr="0000325E">
        <w:trPr>
          <w:trHeight w:val="750"/>
          <w:jc w:val="center"/>
        </w:trPr>
        <w:tc>
          <w:tcPr>
            <w:tcW w:w="446" w:type="pct"/>
            <w:vMerge/>
            <w:tcBorders>
              <w:top w:val="single" w:sz="4" w:space="0" w:color="auto"/>
              <w:bottom w:val="single" w:sz="4" w:space="0" w:color="auto"/>
            </w:tcBorders>
            <w:vAlign w:val="center"/>
            <w:hideMark/>
          </w:tcPr>
          <w:p w14:paraId="56631684" w14:textId="77777777" w:rsidR="00DF48D3" w:rsidRPr="00D077F9" w:rsidRDefault="00DF48D3" w:rsidP="007D2EB1">
            <w:pPr>
              <w:spacing w:before="0" w:after="0"/>
              <w:jc w:val="center"/>
              <w:rPr>
                <w:color w:val="000000" w:themeColor="text1"/>
                <w:sz w:val="19"/>
                <w:szCs w:val="19"/>
              </w:rPr>
            </w:pPr>
          </w:p>
        </w:tc>
        <w:tc>
          <w:tcPr>
            <w:tcW w:w="691" w:type="pct"/>
            <w:tcBorders>
              <w:top w:val="single" w:sz="4" w:space="0" w:color="auto"/>
              <w:bottom w:val="single" w:sz="4" w:space="0" w:color="auto"/>
            </w:tcBorders>
            <w:shd w:val="clear" w:color="auto" w:fill="auto"/>
            <w:vAlign w:val="center"/>
            <w:hideMark/>
          </w:tcPr>
          <w:p w14:paraId="3263A484"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Economic &amp; Financial</w:t>
            </w:r>
          </w:p>
        </w:tc>
        <w:tc>
          <w:tcPr>
            <w:tcW w:w="786" w:type="pct"/>
            <w:tcBorders>
              <w:top w:val="single" w:sz="4" w:space="0" w:color="auto"/>
              <w:bottom w:val="single" w:sz="4" w:space="0" w:color="auto"/>
            </w:tcBorders>
            <w:shd w:val="clear" w:color="auto" w:fill="auto"/>
            <w:vAlign w:val="center"/>
            <w:hideMark/>
          </w:tcPr>
          <w:p w14:paraId="33AB1845" w14:textId="77777777" w:rsidR="00DF48D3" w:rsidRPr="00D077F9" w:rsidRDefault="00DF48D3" w:rsidP="007D2EB1">
            <w:pPr>
              <w:spacing w:before="0" w:after="0"/>
              <w:jc w:val="center"/>
              <w:rPr>
                <w:b/>
                <w:color w:val="000000" w:themeColor="text1"/>
                <w:sz w:val="19"/>
                <w:szCs w:val="19"/>
              </w:rPr>
            </w:pPr>
            <w:r w:rsidRPr="00D077F9">
              <w:rPr>
                <w:b/>
                <w:color w:val="000000" w:themeColor="text1"/>
                <w:sz w:val="19"/>
                <w:szCs w:val="19"/>
              </w:rPr>
              <w:t>Financial Health</w:t>
            </w:r>
          </w:p>
        </w:tc>
        <w:tc>
          <w:tcPr>
            <w:tcW w:w="858" w:type="pct"/>
            <w:tcBorders>
              <w:top w:val="single" w:sz="4" w:space="0" w:color="auto"/>
              <w:bottom w:val="single" w:sz="4" w:space="0" w:color="auto"/>
            </w:tcBorders>
            <w:shd w:val="clear" w:color="auto" w:fill="auto"/>
            <w:vAlign w:val="center"/>
            <w:hideMark/>
          </w:tcPr>
          <w:p w14:paraId="45CEF15F"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Asset Valuation &amp; Investment</w:t>
            </w:r>
          </w:p>
        </w:tc>
        <w:tc>
          <w:tcPr>
            <w:tcW w:w="1135" w:type="pct"/>
            <w:tcBorders>
              <w:top w:val="single" w:sz="4" w:space="0" w:color="auto"/>
              <w:bottom w:val="single" w:sz="4" w:space="0" w:color="auto"/>
            </w:tcBorders>
            <w:shd w:val="clear" w:color="auto" w:fill="auto"/>
            <w:vAlign w:val="center"/>
            <w:hideMark/>
          </w:tcPr>
          <w:p w14:paraId="2F0EAF57"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Economic Value, Climate Change Financial Risks, Retirement Plan Obligations, Government Assistance, Infrastructure Investments, Indirect Economic Impacts, Local Supplier Spending</w:t>
            </w:r>
          </w:p>
        </w:tc>
        <w:tc>
          <w:tcPr>
            <w:tcW w:w="1084" w:type="pct"/>
            <w:tcBorders>
              <w:top w:val="single" w:sz="4" w:space="0" w:color="auto"/>
              <w:bottom w:val="single" w:sz="4" w:space="0" w:color="auto"/>
            </w:tcBorders>
            <w:shd w:val="clear" w:color="auto" w:fill="auto"/>
            <w:vAlign w:val="center"/>
            <w:hideMark/>
          </w:tcPr>
          <w:p w14:paraId="616970AC" w14:textId="77777777" w:rsidR="00DF48D3" w:rsidRPr="00D077F9" w:rsidRDefault="00DF48D3" w:rsidP="007D2EB1">
            <w:pPr>
              <w:spacing w:before="0" w:after="0"/>
              <w:jc w:val="center"/>
              <w:rPr>
                <w:color w:val="000000" w:themeColor="text1"/>
                <w:sz w:val="19"/>
                <w:szCs w:val="19"/>
              </w:rPr>
            </w:pPr>
            <w:r w:rsidRPr="00D077F9">
              <w:rPr>
                <w:color w:val="000000" w:themeColor="text1"/>
                <w:sz w:val="19"/>
                <w:szCs w:val="19"/>
              </w:rPr>
              <w:t>Goal 8: Decent Work and Economic Growth, Goal 9: Industry, Innovation, and Infrastructure</w:t>
            </w:r>
          </w:p>
        </w:tc>
      </w:tr>
    </w:tbl>
    <w:p w14:paraId="73A09E9A" w14:textId="77777777" w:rsidR="00C92AEB" w:rsidRPr="00C22C47" w:rsidRDefault="00C92AEB" w:rsidP="00833D74">
      <w:pPr>
        <w:rPr>
          <w:color w:val="000000" w:themeColor="text1"/>
        </w:rPr>
      </w:pPr>
    </w:p>
    <w:p w14:paraId="18545B99" w14:textId="30D4ED4E" w:rsidR="0027078F" w:rsidRPr="00C22C47" w:rsidRDefault="0629029B" w:rsidP="005F2F08">
      <w:pPr>
        <w:pStyle w:val="Heading3"/>
        <w:rPr>
          <w:i/>
          <w:iCs/>
        </w:rPr>
      </w:pPr>
      <w:bookmarkStart w:id="22" w:name="_Toc146147242"/>
      <w:r w:rsidRPr="00C22C47">
        <w:t xml:space="preserve">Environmental </w:t>
      </w:r>
      <w:r w:rsidR="65EA3DDD" w:rsidRPr="00C22C47">
        <w:t>Objectives</w:t>
      </w:r>
      <w:bookmarkEnd w:id="22"/>
    </w:p>
    <w:p w14:paraId="35E0ABA7" w14:textId="247CC6A0" w:rsidR="00316025" w:rsidRPr="00C22C47" w:rsidRDefault="00316025" w:rsidP="00DB20DB">
      <w:pPr>
        <w:pStyle w:val="Subtitle"/>
        <w:rPr>
          <w:i/>
          <w:iCs/>
          <w:color w:val="000000" w:themeColor="text1"/>
        </w:rPr>
      </w:pPr>
      <w:bookmarkStart w:id="23" w:name="_Ref144277642"/>
      <w:r w:rsidRPr="00C22C47">
        <w:rPr>
          <w:color w:val="000000" w:themeColor="text1"/>
        </w:rPr>
        <w:t xml:space="preserve">Table </w:t>
      </w:r>
      <w:r w:rsidR="00920C73" w:rsidRPr="00C22C47">
        <w:rPr>
          <w:color w:val="000000" w:themeColor="text1"/>
        </w:rPr>
        <w:fldChar w:fldCharType="begin"/>
      </w:r>
      <w:r w:rsidR="00920C73" w:rsidRPr="00C22C47">
        <w:rPr>
          <w:color w:val="000000" w:themeColor="text1"/>
        </w:rPr>
        <w:instrText xml:space="preserve"> SEQ Table \* ARABIC </w:instrText>
      </w:r>
      <w:r w:rsidR="00920C73" w:rsidRPr="00C22C47">
        <w:rPr>
          <w:color w:val="000000" w:themeColor="text1"/>
        </w:rPr>
        <w:fldChar w:fldCharType="separate"/>
      </w:r>
      <w:r w:rsidR="00B01D58">
        <w:rPr>
          <w:noProof/>
          <w:color w:val="000000" w:themeColor="text1"/>
        </w:rPr>
        <w:t>4</w:t>
      </w:r>
      <w:r w:rsidR="00920C73" w:rsidRPr="00C22C47">
        <w:rPr>
          <w:noProof/>
          <w:color w:val="000000" w:themeColor="text1"/>
        </w:rPr>
        <w:fldChar w:fldCharType="end"/>
      </w:r>
      <w:bookmarkEnd w:id="23"/>
      <w:r w:rsidRPr="00C22C47">
        <w:rPr>
          <w:color w:val="000000" w:themeColor="text1"/>
        </w:rPr>
        <w:t xml:space="preserve">. </w:t>
      </w:r>
      <w:r w:rsidR="00074AA3" w:rsidRPr="00C22C47">
        <w:rPr>
          <w:color w:val="000000" w:themeColor="text1"/>
        </w:rPr>
        <w:t>SASB, GRI and SDG overlapping</w:t>
      </w:r>
      <w:r w:rsidR="008B650B" w:rsidRPr="00C22C47">
        <w:rPr>
          <w:color w:val="000000" w:themeColor="text1"/>
        </w:rPr>
        <w:t xml:space="preserve"> metrics divided into major and </w:t>
      </w:r>
      <w:r w:rsidR="004D0726" w:rsidRPr="00C22C47">
        <w:rPr>
          <w:color w:val="000000" w:themeColor="text1"/>
        </w:rPr>
        <w:t>subcategories</w:t>
      </w:r>
      <w:r w:rsidR="008B650B" w:rsidRPr="00C22C47">
        <w:rPr>
          <w:color w:val="000000" w:themeColor="text1"/>
        </w:rPr>
        <w:t xml:space="preserve"> under the broader environmental aspect. </w:t>
      </w:r>
    </w:p>
    <w:tbl>
      <w:tblPr>
        <w:tblW w:w="5000" w:type="pct"/>
        <w:jc w:val="right"/>
        <w:tblLook w:val="04A0" w:firstRow="1" w:lastRow="0" w:firstColumn="1" w:lastColumn="0" w:noHBand="0" w:noVBand="1"/>
      </w:tblPr>
      <w:tblGrid>
        <w:gridCol w:w="752"/>
        <w:gridCol w:w="1152"/>
        <w:gridCol w:w="1275"/>
        <w:gridCol w:w="2059"/>
        <w:gridCol w:w="2061"/>
        <w:gridCol w:w="2061"/>
      </w:tblGrid>
      <w:tr w:rsidR="00C22C47" w:rsidRPr="00C22C47" w14:paraId="32662090" w14:textId="77777777" w:rsidTr="00DB20DB">
        <w:trPr>
          <w:trHeight w:val="300"/>
          <w:tblHeader/>
          <w:jc w:val="right"/>
        </w:trPr>
        <w:tc>
          <w:tcPr>
            <w:tcW w:w="401" w:type="pct"/>
            <w:tcBorders>
              <w:top w:val="single" w:sz="4" w:space="0" w:color="auto"/>
              <w:left w:val="nil"/>
              <w:bottom w:val="single" w:sz="8" w:space="0" w:color="auto"/>
              <w:right w:val="nil"/>
            </w:tcBorders>
            <w:shd w:val="clear" w:color="auto" w:fill="auto"/>
            <w:noWrap/>
            <w:vAlign w:val="center"/>
            <w:hideMark/>
          </w:tcPr>
          <w:p w14:paraId="01560590"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Aspect</w:t>
            </w:r>
          </w:p>
        </w:tc>
        <w:tc>
          <w:tcPr>
            <w:tcW w:w="615" w:type="pct"/>
            <w:tcBorders>
              <w:top w:val="single" w:sz="4" w:space="0" w:color="auto"/>
              <w:left w:val="nil"/>
              <w:bottom w:val="single" w:sz="8" w:space="0" w:color="auto"/>
              <w:right w:val="nil"/>
            </w:tcBorders>
            <w:shd w:val="clear" w:color="auto" w:fill="auto"/>
            <w:noWrap/>
            <w:vAlign w:val="center"/>
            <w:hideMark/>
          </w:tcPr>
          <w:p w14:paraId="5C2016C4"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Category</w:t>
            </w:r>
          </w:p>
        </w:tc>
        <w:tc>
          <w:tcPr>
            <w:tcW w:w="681" w:type="pct"/>
            <w:tcBorders>
              <w:top w:val="single" w:sz="4" w:space="0" w:color="auto"/>
              <w:left w:val="nil"/>
              <w:bottom w:val="single" w:sz="8" w:space="0" w:color="auto"/>
              <w:right w:val="nil"/>
            </w:tcBorders>
            <w:shd w:val="clear" w:color="auto" w:fill="auto"/>
            <w:noWrap/>
            <w:vAlign w:val="center"/>
            <w:hideMark/>
          </w:tcPr>
          <w:p w14:paraId="5616328C"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Sub-Category</w:t>
            </w:r>
          </w:p>
        </w:tc>
        <w:tc>
          <w:tcPr>
            <w:tcW w:w="1100" w:type="pct"/>
            <w:tcBorders>
              <w:top w:val="single" w:sz="4" w:space="0" w:color="auto"/>
              <w:left w:val="nil"/>
              <w:bottom w:val="single" w:sz="8" w:space="0" w:color="auto"/>
              <w:right w:val="nil"/>
            </w:tcBorders>
            <w:shd w:val="clear" w:color="auto" w:fill="auto"/>
            <w:vAlign w:val="center"/>
            <w:hideMark/>
          </w:tcPr>
          <w:p w14:paraId="2C9E05E5" w14:textId="4B8E8C09"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SA</w:t>
            </w:r>
            <w:r w:rsidR="00074AA3" w:rsidRPr="00D077F9">
              <w:rPr>
                <w:b/>
                <w:color w:val="000000" w:themeColor="text1"/>
                <w:sz w:val="19"/>
                <w:szCs w:val="19"/>
              </w:rPr>
              <w:t>SB</w:t>
            </w:r>
            <w:r w:rsidRPr="00D077F9">
              <w:rPr>
                <w:b/>
                <w:color w:val="000000" w:themeColor="text1"/>
                <w:sz w:val="19"/>
                <w:szCs w:val="19"/>
              </w:rPr>
              <w:t xml:space="preserve"> Metrics</w:t>
            </w:r>
          </w:p>
        </w:tc>
        <w:tc>
          <w:tcPr>
            <w:tcW w:w="1101" w:type="pct"/>
            <w:tcBorders>
              <w:top w:val="single" w:sz="4" w:space="0" w:color="auto"/>
              <w:left w:val="nil"/>
              <w:bottom w:val="single" w:sz="8" w:space="0" w:color="auto"/>
              <w:right w:val="nil"/>
            </w:tcBorders>
            <w:shd w:val="clear" w:color="auto" w:fill="auto"/>
            <w:vAlign w:val="center"/>
            <w:hideMark/>
          </w:tcPr>
          <w:p w14:paraId="4554DE49"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GRI Metrics</w:t>
            </w:r>
          </w:p>
        </w:tc>
        <w:tc>
          <w:tcPr>
            <w:tcW w:w="1101" w:type="pct"/>
            <w:tcBorders>
              <w:top w:val="single" w:sz="4" w:space="0" w:color="auto"/>
              <w:left w:val="nil"/>
              <w:bottom w:val="single" w:sz="8" w:space="0" w:color="auto"/>
              <w:right w:val="nil"/>
            </w:tcBorders>
            <w:shd w:val="clear" w:color="auto" w:fill="auto"/>
            <w:noWrap/>
            <w:vAlign w:val="center"/>
            <w:hideMark/>
          </w:tcPr>
          <w:p w14:paraId="63E063EB"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Relevant SDG Goal</w:t>
            </w:r>
          </w:p>
        </w:tc>
      </w:tr>
      <w:tr w:rsidR="00C22C47" w:rsidRPr="00C22C47" w14:paraId="04C0EBB8" w14:textId="77777777" w:rsidTr="00DB20DB">
        <w:trPr>
          <w:trHeight w:val="750"/>
          <w:jc w:val="right"/>
        </w:trPr>
        <w:tc>
          <w:tcPr>
            <w:tcW w:w="401" w:type="pct"/>
            <w:vMerge w:val="restart"/>
            <w:tcBorders>
              <w:top w:val="nil"/>
              <w:left w:val="nil"/>
              <w:bottom w:val="single" w:sz="4" w:space="0" w:color="000000"/>
              <w:right w:val="nil"/>
            </w:tcBorders>
            <w:shd w:val="clear" w:color="auto" w:fill="auto"/>
            <w:textDirection w:val="btLr"/>
            <w:vAlign w:val="center"/>
            <w:hideMark/>
          </w:tcPr>
          <w:p w14:paraId="12FC0743"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Environmental</w:t>
            </w:r>
          </w:p>
        </w:tc>
        <w:tc>
          <w:tcPr>
            <w:tcW w:w="615" w:type="pct"/>
            <w:vMerge w:val="restart"/>
            <w:tcBorders>
              <w:top w:val="nil"/>
              <w:left w:val="nil"/>
              <w:bottom w:val="single" w:sz="4" w:space="0" w:color="000000"/>
              <w:right w:val="nil"/>
            </w:tcBorders>
            <w:shd w:val="clear" w:color="auto" w:fill="auto"/>
            <w:vAlign w:val="center"/>
            <w:hideMark/>
          </w:tcPr>
          <w:p w14:paraId="69AF4BBC"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Air &amp; Climate</w:t>
            </w:r>
          </w:p>
        </w:tc>
        <w:tc>
          <w:tcPr>
            <w:tcW w:w="681" w:type="pct"/>
            <w:tcBorders>
              <w:top w:val="nil"/>
              <w:left w:val="nil"/>
              <w:bottom w:val="single" w:sz="4" w:space="0" w:color="auto"/>
              <w:right w:val="nil"/>
            </w:tcBorders>
            <w:shd w:val="clear" w:color="auto" w:fill="auto"/>
            <w:vAlign w:val="center"/>
            <w:hideMark/>
          </w:tcPr>
          <w:p w14:paraId="04F9668F"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Emissions</w:t>
            </w:r>
          </w:p>
        </w:tc>
        <w:tc>
          <w:tcPr>
            <w:tcW w:w="1100" w:type="pct"/>
            <w:tcBorders>
              <w:top w:val="nil"/>
              <w:left w:val="nil"/>
              <w:bottom w:val="single" w:sz="4" w:space="0" w:color="auto"/>
              <w:right w:val="nil"/>
            </w:tcBorders>
            <w:shd w:val="clear" w:color="auto" w:fill="auto"/>
            <w:vAlign w:val="center"/>
            <w:hideMark/>
          </w:tcPr>
          <w:p w14:paraId="6EE027B4"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GHG Emissions, Vehicle Emission Standards, Air Pollution Levels</w:t>
            </w:r>
          </w:p>
        </w:tc>
        <w:tc>
          <w:tcPr>
            <w:tcW w:w="1101" w:type="pct"/>
            <w:tcBorders>
              <w:top w:val="nil"/>
              <w:left w:val="nil"/>
              <w:bottom w:val="single" w:sz="4" w:space="0" w:color="auto"/>
              <w:right w:val="nil"/>
            </w:tcBorders>
            <w:shd w:val="clear" w:color="auto" w:fill="auto"/>
            <w:vAlign w:val="center"/>
            <w:hideMark/>
          </w:tcPr>
          <w:p w14:paraId="28602798" w14:textId="1D415E5D"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 xml:space="preserve">Direct GHG Emissions, Indirect GHG Emissions (Energy), Indirect GHG Emissions (Other), GHG Intensity, GHG Reduction, </w:t>
            </w:r>
            <w:r w:rsidR="009F7816" w:rsidRPr="00D077F9">
              <w:rPr>
                <w:color w:val="000000" w:themeColor="text1"/>
                <w:sz w:val="19"/>
                <w:szCs w:val="19"/>
              </w:rPr>
              <w:t>Ozone Depletion Sources (</w:t>
            </w:r>
            <w:r w:rsidRPr="00D077F9">
              <w:rPr>
                <w:color w:val="000000" w:themeColor="text1"/>
                <w:sz w:val="19"/>
                <w:szCs w:val="19"/>
              </w:rPr>
              <w:t>ODS</w:t>
            </w:r>
            <w:r w:rsidR="009F7816" w:rsidRPr="00D077F9">
              <w:rPr>
                <w:color w:val="000000" w:themeColor="text1"/>
                <w:sz w:val="19"/>
                <w:szCs w:val="19"/>
              </w:rPr>
              <w:t>)</w:t>
            </w:r>
            <w:r w:rsidRPr="00D077F9">
              <w:rPr>
                <w:color w:val="000000" w:themeColor="text1"/>
                <w:sz w:val="19"/>
                <w:szCs w:val="19"/>
              </w:rPr>
              <w:t xml:space="preserve"> Emissions, Major Air Emissions</w:t>
            </w:r>
          </w:p>
        </w:tc>
        <w:tc>
          <w:tcPr>
            <w:tcW w:w="1101" w:type="pct"/>
            <w:tcBorders>
              <w:top w:val="nil"/>
              <w:left w:val="nil"/>
              <w:bottom w:val="single" w:sz="4" w:space="0" w:color="auto"/>
              <w:right w:val="nil"/>
            </w:tcBorders>
            <w:shd w:val="clear" w:color="auto" w:fill="auto"/>
            <w:vAlign w:val="center"/>
            <w:hideMark/>
          </w:tcPr>
          <w:p w14:paraId="0BDBA7CC"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Goal 13: Climate Action</w:t>
            </w:r>
          </w:p>
        </w:tc>
      </w:tr>
      <w:tr w:rsidR="00C22C47" w:rsidRPr="00C22C47" w14:paraId="0D539BEA" w14:textId="77777777" w:rsidTr="00DB20DB">
        <w:trPr>
          <w:trHeight w:val="290"/>
          <w:jc w:val="right"/>
        </w:trPr>
        <w:tc>
          <w:tcPr>
            <w:tcW w:w="401" w:type="pct"/>
            <w:vMerge/>
            <w:tcBorders>
              <w:top w:val="nil"/>
              <w:left w:val="nil"/>
              <w:bottom w:val="single" w:sz="4" w:space="0" w:color="000000"/>
              <w:right w:val="nil"/>
            </w:tcBorders>
            <w:vAlign w:val="center"/>
            <w:hideMark/>
          </w:tcPr>
          <w:p w14:paraId="781FA491" w14:textId="77777777" w:rsidR="00651A09" w:rsidRPr="00D077F9" w:rsidRDefault="00651A09" w:rsidP="00DB20DB">
            <w:pPr>
              <w:spacing w:before="0" w:after="0"/>
              <w:jc w:val="center"/>
              <w:rPr>
                <w:b/>
                <w:color w:val="000000" w:themeColor="text1"/>
                <w:sz w:val="19"/>
                <w:szCs w:val="19"/>
              </w:rPr>
            </w:pPr>
          </w:p>
        </w:tc>
        <w:tc>
          <w:tcPr>
            <w:tcW w:w="615" w:type="pct"/>
            <w:vMerge/>
            <w:tcBorders>
              <w:top w:val="nil"/>
              <w:left w:val="nil"/>
              <w:bottom w:val="single" w:sz="4" w:space="0" w:color="000000"/>
              <w:right w:val="nil"/>
            </w:tcBorders>
            <w:vAlign w:val="center"/>
            <w:hideMark/>
          </w:tcPr>
          <w:p w14:paraId="70F94DC0" w14:textId="77777777" w:rsidR="00651A09" w:rsidRPr="00D077F9" w:rsidRDefault="00651A09" w:rsidP="00DB20DB">
            <w:pPr>
              <w:spacing w:before="0" w:after="0"/>
              <w:jc w:val="center"/>
              <w:rPr>
                <w:b/>
                <w:color w:val="000000" w:themeColor="text1"/>
                <w:sz w:val="19"/>
                <w:szCs w:val="19"/>
              </w:rPr>
            </w:pPr>
          </w:p>
        </w:tc>
        <w:tc>
          <w:tcPr>
            <w:tcW w:w="681" w:type="pct"/>
            <w:tcBorders>
              <w:top w:val="nil"/>
              <w:left w:val="nil"/>
              <w:bottom w:val="single" w:sz="4" w:space="0" w:color="auto"/>
              <w:right w:val="nil"/>
            </w:tcBorders>
            <w:shd w:val="clear" w:color="auto" w:fill="auto"/>
            <w:vAlign w:val="center"/>
            <w:hideMark/>
          </w:tcPr>
          <w:p w14:paraId="2728C15A"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Air Quality</w:t>
            </w:r>
          </w:p>
        </w:tc>
        <w:tc>
          <w:tcPr>
            <w:tcW w:w="1100" w:type="pct"/>
            <w:tcBorders>
              <w:top w:val="nil"/>
              <w:left w:val="nil"/>
              <w:bottom w:val="single" w:sz="4" w:space="0" w:color="auto"/>
              <w:right w:val="nil"/>
            </w:tcBorders>
            <w:shd w:val="clear" w:color="auto" w:fill="auto"/>
            <w:vAlign w:val="center"/>
            <w:hideMark/>
          </w:tcPr>
          <w:p w14:paraId="618E643F"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Air Quality</w:t>
            </w:r>
          </w:p>
        </w:tc>
        <w:tc>
          <w:tcPr>
            <w:tcW w:w="1101" w:type="pct"/>
            <w:tcBorders>
              <w:top w:val="nil"/>
              <w:left w:val="nil"/>
              <w:bottom w:val="single" w:sz="4" w:space="0" w:color="auto"/>
              <w:right w:val="nil"/>
            </w:tcBorders>
            <w:shd w:val="clear" w:color="auto" w:fill="auto"/>
            <w:vAlign w:val="center"/>
            <w:hideMark/>
          </w:tcPr>
          <w:p w14:paraId="2EA8BAD3"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w:t>
            </w:r>
          </w:p>
        </w:tc>
        <w:tc>
          <w:tcPr>
            <w:tcW w:w="1101" w:type="pct"/>
            <w:tcBorders>
              <w:top w:val="nil"/>
              <w:left w:val="nil"/>
              <w:bottom w:val="single" w:sz="4" w:space="0" w:color="auto"/>
              <w:right w:val="nil"/>
            </w:tcBorders>
            <w:shd w:val="clear" w:color="auto" w:fill="auto"/>
            <w:vAlign w:val="center"/>
            <w:hideMark/>
          </w:tcPr>
          <w:p w14:paraId="1A1406BF"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Goal 3: Good Health and Well-being, Goal 11: Sustainable Cities and Communities</w:t>
            </w:r>
          </w:p>
        </w:tc>
      </w:tr>
      <w:tr w:rsidR="00C22C47" w:rsidRPr="00C22C47" w14:paraId="6328CBC6" w14:textId="77777777" w:rsidTr="00DB20DB">
        <w:trPr>
          <w:trHeight w:val="500"/>
          <w:jc w:val="right"/>
        </w:trPr>
        <w:tc>
          <w:tcPr>
            <w:tcW w:w="401" w:type="pct"/>
            <w:vMerge/>
            <w:tcBorders>
              <w:top w:val="nil"/>
              <w:left w:val="nil"/>
              <w:bottom w:val="single" w:sz="4" w:space="0" w:color="000000"/>
              <w:right w:val="nil"/>
            </w:tcBorders>
            <w:vAlign w:val="center"/>
            <w:hideMark/>
          </w:tcPr>
          <w:p w14:paraId="5B912145" w14:textId="77777777" w:rsidR="00651A09" w:rsidRPr="00D077F9" w:rsidRDefault="00651A09" w:rsidP="00DB20DB">
            <w:pPr>
              <w:spacing w:before="0" w:after="0"/>
              <w:jc w:val="center"/>
              <w:rPr>
                <w:color w:val="000000" w:themeColor="text1"/>
                <w:sz w:val="19"/>
                <w:szCs w:val="19"/>
              </w:rPr>
            </w:pPr>
          </w:p>
        </w:tc>
        <w:tc>
          <w:tcPr>
            <w:tcW w:w="615" w:type="pct"/>
            <w:vMerge w:val="restart"/>
            <w:tcBorders>
              <w:top w:val="nil"/>
              <w:left w:val="nil"/>
              <w:bottom w:val="single" w:sz="4" w:space="0" w:color="000000"/>
              <w:right w:val="nil"/>
            </w:tcBorders>
            <w:shd w:val="clear" w:color="auto" w:fill="auto"/>
            <w:vAlign w:val="center"/>
            <w:hideMark/>
          </w:tcPr>
          <w:p w14:paraId="69B635EC"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Water &amp; Waste</w:t>
            </w:r>
          </w:p>
        </w:tc>
        <w:tc>
          <w:tcPr>
            <w:tcW w:w="681" w:type="pct"/>
            <w:tcBorders>
              <w:top w:val="nil"/>
              <w:left w:val="nil"/>
              <w:bottom w:val="single" w:sz="4" w:space="0" w:color="auto"/>
              <w:right w:val="nil"/>
            </w:tcBorders>
            <w:shd w:val="clear" w:color="auto" w:fill="auto"/>
            <w:vAlign w:val="center"/>
            <w:hideMark/>
          </w:tcPr>
          <w:p w14:paraId="0E3F811E"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Water Management</w:t>
            </w:r>
          </w:p>
        </w:tc>
        <w:tc>
          <w:tcPr>
            <w:tcW w:w="1100" w:type="pct"/>
            <w:tcBorders>
              <w:top w:val="nil"/>
              <w:left w:val="nil"/>
              <w:bottom w:val="single" w:sz="4" w:space="0" w:color="auto"/>
              <w:right w:val="nil"/>
            </w:tcBorders>
            <w:shd w:val="clear" w:color="auto" w:fill="auto"/>
            <w:vAlign w:val="center"/>
            <w:hideMark/>
          </w:tcPr>
          <w:p w14:paraId="35492255"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Manufacturing Water Usage, Water Management, Water Usage &amp; Conservation</w:t>
            </w:r>
          </w:p>
        </w:tc>
        <w:tc>
          <w:tcPr>
            <w:tcW w:w="1101" w:type="pct"/>
            <w:tcBorders>
              <w:top w:val="nil"/>
              <w:left w:val="nil"/>
              <w:bottom w:val="single" w:sz="4" w:space="0" w:color="auto"/>
              <w:right w:val="nil"/>
            </w:tcBorders>
            <w:shd w:val="clear" w:color="auto" w:fill="auto"/>
            <w:vAlign w:val="center"/>
            <w:hideMark/>
          </w:tcPr>
          <w:p w14:paraId="51B6E6D4"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Water Withdrawals, Water Discharge, Water Consumption</w:t>
            </w:r>
          </w:p>
        </w:tc>
        <w:tc>
          <w:tcPr>
            <w:tcW w:w="1101" w:type="pct"/>
            <w:tcBorders>
              <w:top w:val="nil"/>
              <w:left w:val="nil"/>
              <w:bottom w:val="single" w:sz="4" w:space="0" w:color="auto"/>
              <w:right w:val="nil"/>
            </w:tcBorders>
            <w:shd w:val="clear" w:color="auto" w:fill="auto"/>
            <w:vAlign w:val="center"/>
            <w:hideMark/>
          </w:tcPr>
          <w:p w14:paraId="70C22595"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Goal 6: Clean Water and Sanitation</w:t>
            </w:r>
          </w:p>
        </w:tc>
      </w:tr>
      <w:tr w:rsidR="00C22C47" w:rsidRPr="00C22C47" w14:paraId="0B066FEC" w14:textId="77777777" w:rsidTr="00DB20DB">
        <w:trPr>
          <w:trHeight w:val="500"/>
          <w:jc w:val="right"/>
        </w:trPr>
        <w:tc>
          <w:tcPr>
            <w:tcW w:w="401" w:type="pct"/>
            <w:vMerge/>
            <w:tcBorders>
              <w:top w:val="nil"/>
              <w:left w:val="nil"/>
              <w:bottom w:val="single" w:sz="4" w:space="0" w:color="000000"/>
              <w:right w:val="nil"/>
            </w:tcBorders>
            <w:vAlign w:val="center"/>
            <w:hideMark/>
          </w:tcPr>
          <w:p w14:paraId="2F1E5481" w14:textId="77777777" w:rsidR="00651A09" w:rsidRPr="00D077F9" w:rsidRDefault="00651A09" w:rsidP="00DB20DB">
            <w:pPr>
              <w:spacing w:before="0" w:after="0"/>
              <w:jc w:val="center"/>
              <w:rPr>
                <w:color w:val="000000" w:themeColor="text1"/>
                <w:sz w:val="19"/>
                <w:szCs w:val="19"/>
              </w:rPr>
            </w:pPr>
          </w:p>
        </w:tc>
        <w:tc>
          <w:tcPr>
            <w:tcW w:w="615" w:type="pct"/>
            <w:vMerge/>
            <w:tcBorders>
              <w:top w:val="nil"/>
              <w:left w:val="nil"/>
              <w:bottom w:val="single" w:sz="4" w:space="0" w:color="000000"/>
              <w:right w:val="nil"/>
            </w:tcBorders>
            <w:vAlign w:val="center"/>
            <w:hideMark/>
          </w:tcPr>
          <w:p w14:paraId="399CB015" w14:textId="77777777" w:rsidR="00651A09" w:rsidRPr="00D077F9" w:rsidRDefault="00651A09" w:rsidP="00DB20DB">
            <w:pPr>
              <w:spacing w:before="0" w:after="0"/>
              <w:jc w:val="center"/>
              <w:rPr>
                <w:b/>
                <w:color w:val="000000" w:themeColor="text1"/>
                <w:sz w:val="19"/>
                <w:szCs w:val="19"/>
              </w:rPr>
            </w:pPr>
          </w:p>
        </w:tc>
        <w:tc>
          <w:tcPr>
            <w:tcW w:w="681" w:type="pct"/>
            <w:tcBorders>
              <w:top w:val="nil"/>
              <w:left w:val="nil"/>
              <w:bottom w:val="single" w:sz="4" w:space="0" w:color="auto"/>
              <w:right w:val="nil"/>
            </w:tcBorders>
            <w:shd w:val="clear" w:color="auto" w:fill="auto"/>
            <w:vAlign w:val="center"/>
            <w:hideMark/>
          </w:tcPr>
          <w:p w14:paraId="4B1BD997"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Waste Management</w:t>
            </w:r>
          </w:p>
        </w:tc>
        <w:tc>
          <w:tcPr>
            <w:tcW w:w="1100" w:type="pct"/>
            <w:tcBorders>
              <w:top w:val="nil"/>
              <w:left w:val="nil"/>
              <w:bottom w:val="single" w:sz="4" w:space="0" w:color="auto"/>
              <w:right w:val="nil"/>
            </w:tcBorders>
            <w:shd w:val="clear" w:color="auto" w:fill="auto"/>
            <w:vAlign w:val="center"/>
            <w:hideMark/>
          </w:tcPr>
          <w:p w14:paraId="06774608"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Hazardous Waste Disposal, Coal Ash Management, Waste Reduction &amp; Recycling, Hazardous Material Handling</w:t>
            </w:r>
          </w:p>
        </w:tc>
        <w:tc>
          <w:tcPr>
            <w:tcW w:w="1101" w:type="pct"/>
            <w:tcBorders>
              <w:top w:val="nil"/>
              <w:left w:val="nil"/>
              <w:bottom w:val="single" w:sz="4" w:space="0" w:color="auto"/>
              <w:right w:val="nil"/>
            </w:tcBorders>
            <w:shd w:val="clear" w:color="auto" w:fill="auto"/>
            <w:vAlign w:val="center"/>
            <w:hideMark/>
          </w:tcPr>
          <w:p w14:paraId="28C66205"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Waste Generated, Waste Diverted, Waste Disposal</w:t>
            </w:r>
          </w:p>
        </w:tc>
        <w:tc>
          <w:tcPr>
            <w:tcW w:w="1101" w:type="pct"/>
            <w:tcBorders>
              <w:top w:val="nil"/>
              <w:left w:val="nil"/>
              <w:bottom w:val="single" w:sz="4" w:space="0" w:color="auto"/>
              <w:right w:val="nil"/>
            </w:tcBorders>
            <w:shd w:val="clear" w:color="auto" w:fill="auto"/>
            <w:vAlign w:val="center"/>
            <w:hideMark/>
          </w:tcPr>
          <w:p w14:paraId="5DAB2DBC"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Goal 12: Responsible Consumption and Production</w:t>
            </w:r>
          </w:p>
        </w:tc>
      </w:tr>
      <w:tr w:rsidR="00C22C47" w:rsidRPr="00C22C47" w14:paraId="014F80F2" w14:textId="77777777" w:rsidTr="00DB20DB">
        <w:trPr>
          <w:trHeight w:val="500"/>
          <w:jc w:val="right"/>
        </w:trPr>
        <w:tc>
          <w:tcPr>
            <w:tcW w:w="401" w:type="pct"/>
            <w:vMerge/>
            <w:tcBorders>
              <w:top w:val="nil"/>
              <w:left w:val="nil"/>
              <w:bottom w:val="single" w:sz="4" w:space="0" w:color="000000"/>
              <w:right w:val="nil"/>
            </w:tcBorders>
            <w:vAlign w:val="center"/>
            <w:hideMark/>
          </w:tcPr>
          <w:p w14:paraId="1100766C" w14:textId="77777777" w:rsidR="00651A09" w:rsidRPr="00D077F9" w:rsidRDefault="00651A09" w:rsidP="00DB20DB">
            <w:pPr>
              <w:spacing w:before="0" w:after="0"/>
              <w:jc w:val="center"/>
              <w:rPr>
                <w:color w:val="000000" w:themeColor="text1"/>
                <w:sz w:val="19"/>
                <w:szCs w:val="19"/>
              </w:rPr>
            </w:pPr>
          </w:p>
        </w:tc>
        <w:tc>
          <w:tcPr>
            <w:tcW w:w="615" w:type="pct"/>
            <w:vMerge w:val="restart"/>
            <w:tcBorders>
              <w:top w:val="nil"/>
              <w:left w:val="nil"/>
              <w:bottom w:val="single" w:sz="4" w:space="0" w:color="000000"/>
              <w:right w:val="nil"/>
            </w:tcBorders>
            <w:shd w:val="clear" w:color="auto" w:fill="auto"/>
            <w:vAlign w:val="center"/>
            <w:hideMark/>
          </w:tcPr>
          <w:p w14:paraId="59CBBDDD"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Biodiversity &amp; Ecology</w:t>
            </w:r>
          </w:p>
        </w:tc>
        <w:tc>
          <w:tcPr>
            <w:tcW w:w="681" w:type="pct"/>
            <w:tcBorders>
              <w:top w:val="nil"/>
              <w:left w:val="nil"/>
              <w:bottom w:val="single" w:sz="4" w:space="0" w:color="auto"/>
              <w:right w:val="nil"/>
            </w:tcBorders>
            <w:shd w:val="clear" w:color="auto" w:fill="auto"/>
            <w:vAlign w:val="center"/>
            <w:hideMark/>
          </w:tcPr>
          <w:p w14:paraId="783F9CB3"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Biodiversity</w:t>
            </w:r>
          </w:p>
        </w:tc>
        <w:tc>
          <w:tcPr>
            <w:tcW w:w="1100" w:type="pct"/>
            <w:tcBorders>
              <w:top w:val="nil"/>
              <w:left w:val="nil"/>
              <w:bottom w:val="single" w:sz="4" w:space="0" w:color="auto"/>
              <w:right w:val="nil"/>
            </w:tcBorders>
            <w:shd w:val="clear" w:color="auto" w:fill="auto"/>
            <w:vAlign w:val="center"/>
            <w:hideMark/>
          </w:tcPr>
          <w:p w14:paraId="3B6B81ED"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Impact on Flora &amp; Fauna, Biodiversity Impacts</w:t>
            </w:r>
          </w:p>
        </w:tc>
        <w:tc>
          <w:tcPr>
            <w:tcW w:w="1101" w:type="pct"/>
            <w:tcBorders>
              <w:top w:val="nil"/>
              <w:left w:val="nil"/>
              <w:bottom w:val="single" w:sz="4" w:space="0" w:color="auto"/>
              <w:right w:val="nil"/>
            </w:tcBorders>
            <w:shd w:val="clear" w:color="auto" w:fill="auto"/>
            <w:vAlign w:val="center"/>
            <w:hideMark/>
          </w:tcPr>
          <w:p w14:paraId="26644787"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Sites near Protected Areas, Biodiversity Impact, Habitat Protection, IUCN Red List Species Impact</w:t>
            </w:r>
          </w:p>
        </w:tc>
        <w:tc>
          <w:tcPr>
            <w:tcW w:w="1101" w:type="pct"/>
            <w:tcBorders>
              <w:top w:val="nil"/>
              <w:left w:val="nil"/>
              <w:bottom w:val="single" w:sz="4" w:space="0" w:color="auto"/>
              <w:right w:val="nil"/>
            </w:tcBorders>
            <w:shd w:val="clear" w:color="auto" w:fill="auto"/>
            <w:vAlign w:val="center"/>
            <w:hideMark/>
          </w:tcPr>
          <w:p w14:paraId="7018C521"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Goal 15: Life on Land</w:t>
            </w:r>
          </w:p>
        </w:tc>
      </w:tr>
      <w:tr w:rsidR="004F6295" w:rsidRPr="00C22C47" w14:paraId="0417AD3D" w14:textId="77777777" w:rsidTr="00DB20DB">
        <w:trPr>
          <w:trHeight w:val="290"/>
          <w:jc w:val="right"/>
        </w:trPr>
        <w:tc>
          <w:tcPr>
            <w:tcW w:w="401" w:type="pct"/>
            <w:vMerge/>
            <w:tcBorders>
              <w:top w:val="nil"/>
              <w:left w:val="nil"/>
              <w:bottom w:val="single" w:sz="4" w:space="0" w:color="000000"/>
              <w:right w:val="nil"/>
            </w:tcBorders>
            <w:vAlign w:val="center"/>
            <w:hideMark/>
          </w:tcPr>
          <w:p w14:paraId="6212846D" w14:textId="77777777" w:rsidR="00651A09" w:rsidRPr="00D077F9" w:rsidRDefault="00651A09" w:rsidP="00DB20DB">
            <w:pPr>
              <w:spacing w:before="0" w:after="0"/>
              <w:jc w:val="center"/>
              <w:rPr>
                <w:color w:val="000000" w:themeColor="text1"/>
                <w:sz w:val="19"/>
                <w:szCs w:val="19"/>
              </w:rPr>
            </w:pPr>
          </w:p>
        </w:tc>
        <w:tc>
          <w:tcPr>
            <w:tcW w:w="615" w:type="pct"/>
            <w:vMerge/>
            <w:tcBorders>
              <w:top w:val="nil"/>
              <w:left w:val="nil"/>
              <w:bottom w:val="single" w:sz="4" w:space="0" w:color="000000"/>
              <w:right w:val="nil"/>
            </w:tcBorders>
            <w:vAlign w:val="center"/>
            <w:hideMark/>
          </w:tcPr>
          <w:p w14:paraId="7B6F327F" w14:textId="77777777" w:rsidR="00651A09" w:rsidRPr="00D077F9" w:rsidRDefault="00651A09" w:rsidP="00DB20DB">
            <w:pPr>
              <w:spacing w:before="0" w:after="0"/>
              <w:jc w:val="center"/>
              <w:rPr>
                <w:b/>
                <w:color w:val="000000" w:themeColor="text1"/>
                <w:sz w:val="19"/>
                <w:szCs w:val="19"/>
              </w:rPr>
            </w:pPr>
          </w:p>
        </w:tc>
        <w:tc>
          <w:tcPr>
            <w:tcW w:w="681" w:type="pct"/>
            <w:tcBorders>
              <w:top w:val="nil"/>
              <w:left w:val="nil"/>
              <w:bottom w:val="single" w:sz="4" w:space="0" w:color="auto"/>
              <w:right w:val="nil"/>
            </w:tcBorders>
            <w:shd w:val="clear" w:color="auto" w:fill="auto"/>
            <w:vAlign w:val="center"/>
            <w:hideMark/>
          </w:tcPr>
          <w:p w14:paraId="73F122D3" w14:textId="77777777" w:rsidR="00651A09" w:rsidRPr="00D077F9" w:rsidRDefault="00651A09" w:rsidP="00DB20DB">
            <w:pPr>
              <w:spacing w:before="0" w:after="0"/>
              <w:jc w:val="center"/>
              <w:rPr>
                <w:b/>
                <w:color w:val="000000" w:themeColor="text1"/>
                <w:sz w:val="19"/>
                <w:szCs w:val="19"/>
              </w:rPr>
            </w:pPr>
            <w:r w:rsidRPr="00D077F9">
              <w:rPr>
                <w:b/>
                <w:color w:val="000000" w:themeColor="text1"/>
                <w:sz w:val="19"/>
                <w:szCs w:val="19"/>
              </w:rPr>
              <w:t>Ecological Health</w:t>
            </w:r>
          </w:p>
        </w:tc>
        <w:tc>
          <w:tcPr>
            <w:tcW w:w="1100" w:type="pct"/>
            <w:tcBorders>
              <w:top w:val="nil"/>
              <w:left w:val="nil"/>
              <w:bottom w:val="single" w:sz="4" w:space="0" w:color="auto"/>
              <w:right w:val="nil"/>
            </w:tcBorders>
            <w:shd w:val="clear" w:color="auto" w:fill="auto"/>
            <w:vAlign w:val="center"/>
            <w:hideMark/>
          </w:tcPr>
          <w:p w14:paraId="04D2000D"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Ecological Impacts, Ecosystem Conservation</w:t>
            </w:r>
          </w:p>
        </w:tc>
        <w:tc>
          <w:tcPr>
            <w:tcW w:w="1101" w:type="pct"/>
            <w:tcBorders>
              <w:top w:val="nil"/>
              <w:left w:val="nil"/>
              <w:bottom w:val="single" w:sz="4" w:space="0" w:color="auto"/>
              <w:right w:val="nil"/>
            </w:tcBorders>
            <w:shd w:val="clear" w:color="auto" w:fill="auto"/>
            <w:vAlign w:val="center"/>
            <w:hideMark/>
          </w:tcPr>
          <w:p w14:paraId="0758AEE5"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w:t>
            </w:r>
          </w:p>
        </w:tc>
        <w:tc>
          <w:tcPr>
            <w:tcW w:w="1101" w:type="pct"/>
            <w:tcBorders>
              <w:top w:val="nil"/>
              <w:left w:val="nil"/>
              <w:bottom w:val="single" w:sz="4" w:space="0" w:color="auto"/>
              <w:right w:val="nil"/>
            </w:tcBorders>
            <w:shd w:val="clear" w:color="auto" w:fill="auto"/>
            <w:vAlign w:val="center"/>
            <w:hideMark/>
          </w:tcPr>
          <w:p w14:paraId="703A3532" w14:textId="77777777" w:rsidR="00651A09" w:rsidRPr="00D077F9" w:rsidRDefault="00651A09" w:rsidP="00DB20DB">
            <w:pPr>
              <w:spacing w:before="0" w:after="0"/>
              <w:jc w:val="center"/>
              <w:rPr>
                <w:color w:val="000000" w:themeColor="text1"/>
                <w:sz w:val="19"/>
                <w:szCs w:val="19"/>
              </w:rPr>
            </w:pPr>
            <w:r w:rsidRPr="00D077F9">
              <w:rPr>
                <w:color w:val="000000" w:themeColor="text1"/>
                <w:sz w:val="19"/>
                <w:szCs w:val="19"/>
              </w:rPr>
              <w:t>Goal 14: Life Below Water, Goal 15: Life on Land</w:t>
            </w:r>
          </w:p>
        </w:tc>
      </w:tr>
    </w:tbl>
    <w:p w14:paraId="45210F4B" w14:textId="77777777" w:rsidR="004131E7" w:rsidRPr="00D077F9" w:rsidRDefault="004131E7" w:rsidP="004131E7"/>
    <w:p w14:paraId="223C143D" w14:textId="2274934C" w:rsidR="00122B10" w:rsidRPr="00C22C47" w:rsidRDefault="00122B10" w:rsidP="005F2F08">
      <w:pPr>
        <w:pStyle w:val="Heading3"/>
        <w:rPr>
          <w:i/>
          <w:iCs/>
        </w:rPr>
      </w:pPr>
      <w:bookmarkStart w:id="24" w:name="_Toc146147243"/>
      <w:r w:rsidRPr="00C22C47">
        <w:t>Technical Objectives</w:t>
      </w:r>
      <w:bookmarkEnd w:id="24"/>
    </w:p>
    <w:p w14:paraId="5F9CBC1A" w14:textId="67CFF208" w:rsidR="00595463" w:rsidRPr="00C22C47" w:rsidRDefault="00595463" w:rsidP="00B22084">
      <w:pPr>
        <w:pStyle w:val="Subtitle"/>
        <w:rPr>
          <w:i/>
          <w:iCs/>
          <w:color w:val="000000" w:themeColor="text1"/>
        </w:rPr>
      </w:pPr>
      <w:r w:rsidRPr="00C22C47">
        <w:rPr>
          <w:color w:val="000000" w:themeColor="text1"/>
        </w:rPr>
        <w:t xml:space="preserve">Table </w:t>
      </w:r>
      <w:r w:rsidR="00920C73" w:rsidRPr="00C22C47">
        <w:rPr>
          <w:color w:val="000000" w:themeColor="text1"/>
        </w:rPr>
        <w:fldChar w:fldCharType="begin"/>
      </w:r>
      <w:r w:rsidR="00920C73" w:rsidRPr="00C22C47">
        <w:rPr>
          <w:color w:val="000000" w:themeColor="text1"/>
        </w:rPr>
        <w:instrText xml:space="preserve"> SEQ Table \* ARABIC </w:instrText>
      </w:r>
      <w:r w:rsidR="00920C73" w:rsidRPr="00C22C47">
        <w:rPr>
          <w:color w:val="000000" w:themeColor="text1"/>
        </w:rPr>
        <w:fldChar w:fldCharType="separate"/>
      </w:r>
      <w:r w:rsidR="00B01D58">
        <w:rPr>
          <w:noProof/>
          <w:color w:val="000000" w:themeColor="text1"/>
        </w:rPr>
        <w:t>5</w:t>
      </w:r>
      <w:r w:rsidR="00920C73" w:rsidRPr="00C22C47">
        <w:rPr>
          <w:noProof/>
          <w:color w:val="000000" w:themeColor="text1"/>
        </w:rPr>
        <w:fldChar w:fldCharType="end"/>
      </w:r>
      <w:r w:rsidRPr="00C22C47">
        <w:rPr>
          <w:color w:val="000000" w:themeColor="text1"/>
        </w:rPr>
        <w:t xml:space="preserve">. SASB, GRI and SDG overlapping metrics divided into major and subcategories under the broader technical aspect. </w:t>
      </w:r>
    </w:p>
    <w:tbl>
      <w:tblPr>
        <w:tblW w:w="5000" w:type="pct"/>
        <w:jc w:val="center"/>
        <w:tblLook w:val="04A0" w:firstRow="1" w:lastRow="0" w:firstColumn="1" w:lastColumn="0" w:noHBand="0" w:noVBand="1"/>
      </w:tblPr>
      <w:tblGrid>
        <w:gridCol w:w="810"/>
        <w:gridCol w:w="1072"/>
        <w:gridCol w:w="1411"/>
        <w:gridCol w:w="2023"/>
        <w:gridCol w:w="2023"/>
        <w:gridCol w:w="2021"/>
      </w:tblGrid>
      <w:tr w:rsidR="00C22C47" w:rsidRPr="00C22C47" w14:paraId="1B6FD6DD" w14:textId="77777777" w:rsidTr="008570E3">
        <w:trPr>
          <w:trHeight w:val="302"/>
          <w:tblHeader/>
          <w:jc w:val="center"/>
        </w:trPr>
        <w:tc>
          <w:tcPr>
            <w:tcW w:w="447" w:type="pct"/>
            <w:tcBorders>
              <w:top w:val="single" w:sz="4" w:space="0" w:color="auto"/>
              <w:left w:val="nil"/>
              <w:bottom w:val="single" w:sz="4" w:space="0" w:color="000000"/>
              <w:right w:val="nil"/>
            </w:tcBorders>
            <w:shd w:val="clear" w:color="auto" w:fill="auto"/>
            <w:vAlign w:val="center"/>
            <w:hideMark/>
          </w:tcPr>
          <w:p w14:paraId="6340454F"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Aspect</w:t>
            </w:r>
          </w:p>
        </w:tc>
        <w:tc>
          <w:tcPr>
            <w:tcW w:w="563" w:type="pct"/>
            <w:tcBorders>
              <w:top w:val="single" w:sz="4" w:space="0" w:color="auto"/>
              <w:left w:val="nil"/>
              <w:bottom w:val="single" w:sz="4" w:space="0" w:color="000000"/>
              <w:right w:val="nil"/>
            </w:tcBorders>
            <w:shd w:val="clear" w:color="auto" w:fill="auto"/>
            <w:vAlign w:val="center"/>
            <w:hideMark/>
          </w:tcPr>
          <w:p w14:paraId="33AFE235"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Category</w:t>
            </w:r>
          </w:p>
        </w:tc>
        <w:tc>
          <w:tcPr>
            <w:tcW w:w="706" w:type="pct"/>
            <w:tcBorders>
              <w:top w:val="single" w:sz="4" w:space="0" w:color="auto"/>
              <w:left w:val="nil"/>
              <w:bottom w:val="single" w:sz="4" w:space="0" w:color="auto"/>
              <w:right w:val="nil"/>
            </w:tcBorders>
            <w:shd w:val="clear" w:color="auto" w:fill="auto"/>
            <w:vAlign w:val="center"/>
            <w:hideMark/>
          </w:tcPr>
          <w:p w14:paraId="7D85E46A"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Sub-Category</w:t>
            </w:r>
          </w:p>
        </w:tc>
        <w:tc>
          <w:tcPr>
            <w:tcW w:w="1095" w:type="pct"/>
            <w:tcBorders>
              <w:top w:val="single" w:sz="4" w:space="0" w:color="auto"/>
              <w:left w:val="nil"/>
              <w:bottom w:val="single" w:sz="4" w:space="0" w:color="auto"/>
              <w:right w:val="nil"/>
            </w:tcBorders>
            <w:shd w:val="clear" w:color="auto" w:fill="auto"/>
            <w:vAlign w:val="center"/>
            <w:hideMark/>
          </w:tcPr>
          <w:p w14:paraId="1498BC8F"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SASB Metrics</w:t>
            </w:r>
          </w:p>
        </w:tc>
        <w:tc>
          <w:tcPr>
            <w:tcW w:w="1095" w:type="pct"/>
            <w:tcBorders>
              <w:top w:val="single" w:sz="4" w:space="0" w:color="auto"/>
              <w:left w:val="nil"/>
              <w:bottom w:val="single" w:sz="4" w:space="0" w:color="auto"/>
              <w:right w:val="nil"/>
            </w:tcBorders>
            <w:shd w:val="clear" w:color="auto" w:fill="auto"/>
            <w:vAlign w:val="center"/>
            <w:hideMark/>
          </w:tcPr>
          <w:p w14:paraId="42866BC7"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GRI Metrics</w:t>
            </w:r>
          </w:p>
        </w:tc>
        <w:tc>
          <w:tcPr>
            <w:tcW w:w="1095" w:type="pct"/>
            <w:tcBorders>
              <w:top w:val="single" w:sz="4" w:space="0" w:color="auto"/>
              <w:left w:val="nil"/>
              <w:bottom w:val="single" w:sz="4" w:space="0" w:color="auto"/>
              <w:right w:val="nil"/>
            </w:tcBorders>
            <w:shd w:val="clear" w:color="auto" w:fill="auto"/>
            <w:vAlign w:val="center"/>
            <w:hideMark/>
          </w:tcPr>
          <w:p w14:paraId="39E1831E"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Relevant SDG Goal</w:t>
            </w:r>
          </w:p>
        </w:tc>
      </w:tr>
      <w:tr w:rsidR="00C22C47" w:rsidRPr="00C22C47" w14:paraId="6F5D57B7" w14:textId="77777777" w:rsidTr="008570E3">
        <w:trPr>
          <w:trHeight w:val="750"/>
          <w:jc w:val="center"/>
        </w:trPr>
        <w:tc>
          <w:tcPr>
            <w:tcW w:w="447" w:type="pct"/>
            <w:vMerge w:val="restart"/>
            <w:tcBorders>
              <w:top w:val="single" w:sz="4" w:space="0" w:color="auto"/>
              <w:left w:val="nil"/>
              <w:bottom w:val="single" w:sz="4" w:space="0" w:color="000000"/>
              <w:right w:val="nil"/>
            </w:tcBorders>
            <w:shd w:val="clear" w:color="auto" w:fill="auto"/>
            <w:textDirection w:val="btLr"/>
            <w:vAlign w:val="center"/>
            <w:hideMark/>
          </w:tcPr>
          <w:p w14:paraId="21943D5E"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Technical</w:t>
            </w:r>
          </w:p>
        </w:tc>
        <w:tc>
          <w:tcPr>
            <w:tcW w:w="563" w:type="pct"/>
            <w:vMerge w:val="restart"/>
            <w:tcBorders>
              <w:top w:val="single" w:sz="4" w:space="0" w:color="auto"/>
              <w:left w:val="nil"/>
              <w:bottom w:val="single" w:sz="4" w:space="0" w:color="000000"/>
              <w:right w:val="nil"/>
            </w:tcBorders>
            <w:shd w:val="clear" w:color="auto" w:fill="auto"/>
            <w:vAlign w:val="center"/>
            <w:hideMark/>
          </w:tcPr>
          <w:p w14:paraId="4F031564"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Energy &amp; Resources</w:t>
            </w:r>
          </w:p>
        </w:tc>
        <w:tc>
          <w:tcPr>
            <w:tcW w:w="706" w:type="pct"/>
            <w:tcBorders>
              <w:top w:val="single" w:sz="4" w:space="0" w:color="auto"/>
              <w:left w:val="nil"/>
              <w:bottom w:val="single" w:sz="4" w:space="0" w:color="auto"/>
              <w:right w:val="nil"/>
            </w:tcBorders>
            <w:shd w:val="clear" w:color="auto" w:fill="auto"/>
            <w:vAlign w:val="center"/>
            <w:hideMark/>
          </w:tcPr>
          <w:p w14:paraId="445879CA"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Energy Management</w:t>
            </w:r>
          </w:p>
        </w:tc>
        <w:tc>
          <w:tcPr>
            <w:tcW w:w="1095" w:type="pct"/>
            <w:tcBorders>
              <w:top w:val="single" w:sz="4" w:space="0" w:color="auto"/>
              <w:left w:val="nil"/>
              <w:bottom w:val="single" w:sz="4" w:space="0" w:color="auto"/>
              <w:right w:val="nil"/>
            </w:tcBorders>
            <w:shd w:val="clear" w:color="auto" w:fill="auto"/>
            <w:vAlign w:val="center"/>
            <w:hideMark/>
          </w:tcPr>
          <w:p w14:paraId="114519C5"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Energy Management, Energy Affordability, End-User Energy Efficiency, Energy Grid Stability, Affordable Energy Solutions, Clean Fuel Standards, Emission Reduction &amp; Fuel Management</w:t>
            </w:r>
          </w:p>
        </w:tc>
        <w:tc>
          <w:tcPr>
            <w:tcW w:w="1095" w:type="pct"/>
            <w:tcBorders>
              <w:top w:val="single" w:sz="4" w:space="0" w:color="auto"/>
              <w:left w:val="nil"/>
              <w:bottom w:val="single" w:sz="4" w:space="0" w:color="auto"/>
              <w:right w:val="nil"/>
            </w:tcBorders>
            <w:shd w:val="clear" w:color="auto" w:fill="auto"/>
            <w:vAlign w:val="center"/>
            <w:hideMark/>
          </w:tcPr>
          <w:p w14:paraId="22FA56D0"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Internal Energy Consumption, External Energy Consumption, Energy Intensity, Energy Reduction, Product Energy Efficiency</w:t>
            </w:r>
          </w:p>
        </w:tc>
        <w:tc>
          <w:tcPr>
            <w:tcW w:w="1095" w:type="pct"/>
            <w:tcBorders>
              <w:top w:val="single" w:sz="4" w:space="0" w:color="auto"/>
              <w:left w:val="nil"/>
              <w:bottom w:val="single" w:sz="4" w:space="0" w:color="auto"/>
              <w:right w:val="nil"/>
            </w:tcBorders>
            <w:shd w:val="clear" w:color="auto" w:fill="auto"/>
            <w:vAlign w:val="center"/>
            <w:hideMark/>
          </w:tcPr>
          <w:p w14:paraId="78E11E89"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Goal 7: Affordable and Clean Energy</w:t>
            </w:r>
          </w:p>
        </w:tc>
      </w:tr>
      <w:tr w:rsidR="00C22C47" w:rsidRPr="00C22C47" w14:paraId="5F0DE620" w14:textId="77777777" w:rsidTr="008570E3">
        <w:trPr>
          <w:trHeight w:val="500"/>
          <w:jc w:val="center"/>
        </w:trPr>
        <w:tc>
          <w:tcPr>
            <w:tcW w:w="447" w:type="pct"/>
            <w:vMerge/>
            <w:tcBorders>
              <w:top w:val="single" w:sz="4" w:space="0" w:color="auto"/>
              <w:left w:val="nil"/>
              <w:bottom w:val="single" w:sz="4" w:space="0" w:color="000000"/>
              <w:right w:val="nil"/>
            </w:tcBorders>
            <w:vAlign w:val="center"/>
            <w:hideMark/>
          </w:tcPr>
          <w:p w14:paraId="6AFB01B0" w14:textId="77777777" w:rsidR="00373C11" w:rsidRPr="00D077F9" w:rsidRDefault="00373C11" w:rsidP="008570E3">
            <w:pPr>
              <w:spacing w:before="0" w:after="0"/>
              <w:jc w:val="center"/>
              <w:rPr>
                <w:b/>
                <w:color w:val="000000" w:themeColor="text1"/>
                <w:sz w:val="19"/>
                <w:szCs w:val="19"/>
              </w:rPr>
            </w:pPr>
          </w:p>
        </w:tc>
        <w:tc>
          <w:tcPr>
            <w:tcW w:w="563" w:type="pct"/>
            <w:vMerge/>
            <w:tcBorders>
              <w:top w:val="single" w:sz="4" w:space="0" w:color="auto"/>
              <w:left w:val="nil"/>
              <w:bottom w:val="single" w:sz="4" w:space="0" w:color="000000"/>
              <w:right w:val="nil"/>
            </w:tcBorders>
            <w:vAlign w:val="center"/>
            <w:hideMark/>
          </w:tcPr>
          <w:p w14:paraId="3A7CA0AB" w14:textId="77777777" w:rsidR="00373C11" w:rsidRPr="00D077F9" w:rsidRDefault="00373C11" w:rsidP="008570E3">
            <w:pPr>
              <w:spacing w:before="0" w:after="0"/>
              <w:jc w:val="center"/>
              <w:rPr>
                <w:b/>
                <w:color w:val="000000" w:themeColor="text1"/>
                <w:sz w:val="19"/>
                <w:szCs w:val="19"/>
              </w:rPr>
            </w:pPr>
          </w:p>
        </w:tc>
        <w:tc>
          <w:tcPr>
            <w:tcW w:w="706" w:type="pct"/>
            <w:tcBorders>
              <w:top w:val="nil"/>
              <w:left w:val="nil"/>
              <w:bottom w:val="single" w:sz="4" w:space="0" w:color="auto"/>
              <w:right w:val="nil"/>
            </w:tcBorders>
            <w:shd w:val="clear" w:color="auto" w:fill="auto"/>
            <w:vAlign w:val="center"/>
            <w:hideMark/>
          </w:tcPr>
          <w:p w14:paraId="5A2C90F8"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Resource Management</w:t>
            </w:r>
          </w:p>
        </w:tc>
        <w:tc>
          <w:tcPr>
            <w:tcW w:w="1095" w:type="pct"/>
            <w:tcBorders>
              <w:top w:val="nil"/>
              <w:left w:val="nil"/>
              <w:bottom w:val="single" w:sz="4" w:space="0" w:color="auto"/>
              <w:right w:val="nil"/>
            </w:tcBorders>
            <w:shd w:val="clear" w:color="auto" w:fill="auto"/>
            <w:vAlign w:val="center"/>
            <w:hideMark/>
          </w:tcPr>
          <w:p w14:paraId="7AC2538E"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Ethical &amp; Sustainable Sourcing, Safe Chemical Handling &amp; Storage, GMO Management, Resource Efficiency &amp; Recycling</w:t>
            </w:r>
          </w:p>
        </w:tc>
        <w:tc>
          <w:tcPr>
            <w:tcW w:w="1095" w:type="pct"/>
            <w:tcBorders>
              <w:top w:val="nil"/>
              <w:left w:val="nil"/>
              <w:bottom w:val="single" w:sz="4" w:space="0" w:color="auto"/>
              <w:right w:val="nil"/>
            </w:tcBorders>
            <w:shd w:val="clear" w:color="auto" w:fill="auto"/>
            <w:vAlign w:val="center"/>
            <w:hideMark/>
          </w:tcPr>
          <w:p w14:paraId="0C0C6A25"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Materials Used, Recycled Materials, Reclaimed Products</w:t>
            </w:r>
          </w:p>
        </w:tc>
        <w:tc>
          <w:tcPr>
            <w:tcW w:w="1095" w:type="pct"/>
            <w:tcBorders>
              <w:top w:val="nil"/>
              <w:left w:val="nil"/>
              <w:bottom w:val="single" w:sz="4" w:space="0" w:color="auto"/>
              <w:right w:val="nil"/>
            </w:tcBorders>
            <w:shd w:val="clear" w:color="auto" w:fill="auto"/>
            <w:vAlign w:val="center"/>
            <w:hideMark/>
          </w:tcPr>
          <w:p w14:paraId="5350D526"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Goal 12: Responsible Consumption and Production</w:t>
            </w:r>
          </w:p>
        </w:tc>
      </w:tr>
      <w:tr w:rsidR="00C22C47" w:rsidRPr="00C22C47" w14:paraId="2F4A9D81" w14:textId="77777777" w:rsidTr="008570E3">
        <w:trPr>
          <w:trHeight w:val="500"/>
          <w:jc w:val="center"/>
        </w:trPr>
        <w:tc>
          <w:tcPr>
            <w:tcW w:w="447" w:type="pct"/>
            <w:vMerge/>
            <w:tcBorders>
              <w:top w:val="single" w:sz="4" w:space="0" w:color="auto"/>
              <w:left w:val="nil"/>
              <w:bottom w:val="single" w:sz="4" w:space="0" w:color="000000"/>
              <w:right w:val="nil"/>
            </w:tcBorders>
            <w:vAlign w:val="center"/>
            <w:hideMark/>
          </w:tcPr>
          <w:p w14:paraId="334232DE" w14:textId="77777777" w:rsidR="00373C11" w:rsidRPr="00D077F9" w:rsidRDefault="00373C11" w:rsidP="008570E3">
            <w:pPr>
              <w:spacing w:before="0" w:after="0"/>
              <w:jc w:val="center"/>
              <w:rPr>
                <w:b/>
                <w:color w:val="000000" w:themeColor="text1"/>
                <w:sz w:val="19"/>
                <w:szCs w:val="19"/>
              </w:rPr>
            </w:pPr>
          </w:p>
        </w:tc>
        <w:tc>
          <w:tcPr>
            <w:tcW w:w="563" w:type="pct"/>
            <w:tcBorders>
              <w:top w:val="nil"/>
              <w:left w:val="nil"/>
              <w:bottom w:val="single" w:sz="4" w:space="0" w:color="auto"/>
              <w:right w:val="nil"/>
            </w:tcBorders>
            <w:shd w:val="clear" w:color="auto" w:fill="auto"/>
            <w:vAlign w:val="center"/>
            <w:hideMark/>
          </w:tcPr>
          <w:p w14:paraId="0DA62EF1"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Supply Chain &amp; Sourcing</w:t>
            </w:r>
          </w:p>
        </w:tc>
        <w:tc>
          <w:tcPr>
            <w:tcW w:w="706" w:type="pct"/>
            <w:tcBorders>
              <w:top w:val="nil"/>
              <w:left w:val="nil"/>
              <w:bottom w:val="single" w:sz="4" w:space="0" w:color="auto"/>
              <w:right w:val="nil"/>
            </w:tcBorders>
            <w:shd w:val="clear" w:color="auto" w:fill="auto"/>
            <w:vAlign w:val="center"/>
            <w:hideMark/>
          </w:tcPr>
          <w:p w14:paraId="3B63812F"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Supplier Management</w:t>
            </w:r>
          </w:p>
        </w:tc>
        <w:tc>
          <w:tcPr>
            <w:tcW w:w="1095" w:type="pct"/>
            <w:tcBorders>
              <w:top w:val="nil"/>
              <w:left w:val="nil"/>
              <w:bottom w:val="single" w:sz="4" w:space="0" w:color="auto"/>
              <w:right w:val="nil"/>
            </w:tcBorders>
            <w:shd w:val="clear" w:color="auto" w:fill="auto"/>
            <w:vAlign w:val="center"/>
            <w:hideMark/>
          </w:tcPr>
          <w:p w14:paraId="735FB34D"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w:t>
            </w:r>
          </w:p>
        </w:tc>
        <w:tc>
          <w:tcPr>
            <w:tcW w:w="1095" w:type="pct"/>
            <w:tcBorders>
              <w:top w:val="nil"/>
              <w:left w:val="nil"/>
              <w:bottom w:val="single" w:sz="4" w:space="0" w:color="auto"/>
              <w:right w:val="nil"/>
            </w:tcBorders>
            <w:shd w:val="clear" w:color="auto" w:fill="auto"/>
            <w:vAlign w:val="center"/>
            <w:hideMark/>
          </w:tcPr>
          <w:p w14:paraId="396E78E6"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Environmental Supplier Screening, Supply Chain Environmental Impacts, Social Supplier Screening, Supply Chain Social Impacts</w:t>
            </w:r>
          </w:p>
        </w:tc>
        <w:tc>
          <w:tcPr>
            <w:tcW w:w="1095" w:type="pct"/>
            <w:tcBorders>
              <w:top w:val="nil"/>
              <w:left w:val="nil"/>
              <w:bottom w:val="single" w:sz="4" w:space="0" w:color="auto"/>
              <w:right w:val="nil"/>
            </w:tcBorders>
            <w:shd w:val="clear" w:color="auto" w:fill="auto"/>
            <w:vAlign w:val="center"/>
            <w:hideMark/>
          </w:tcPr>
          <w:p w14:paraId="5E20E6FF"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Goal 12: Responsible Consumption and Production, Goal 17: Partnerships for the Goals</w:t>
            </w:r>
          </w:p>
        </w:tc>
      </w:tr>
      <w:tr w:rsidR="00C22C47" w:rsidRPr="00C22C47" w14:paraId="392B0B6A" w14:textId="77777777" w:rsidTr="008570E3">
        <w:trPr>
          <w:trHeight w:val="290"/>
          <w:jc w:val="center"/>
        </w:trPr>
        <w:tc>
          <w:tcPr>
            <w:tcW w:w="447" w:type="pct"/>
            <w:vMerge/>
            <w:tcBorders>
              <w:top w:val="single" w:sz="4" w:space="0" w:color="auto"/>
              <w:left w:val="nil"/>
              <w:bottom w:val="single" w:sz="4" w:space="0" w:color="000000"/>
              <w:right w:val="nil"/>
            </w:tcBorders>
            <w:vAlign w:val="center"/>
            <w:hideMark/>
          </w:tcPr>
          <w:p w14:paraId="5C8921AC" w14:textId="77777777" w:rsidR="00373C11" w:rsidRPr="00D077F9" w:rsidRDefault="00373C11" w:rsidP="008570E3">
            <w:pPr>
              <w:spacing w:before="0" w:after="0"/>
              <w:jc w:val="center"/>
              <w:rPr>
                <w:b/>
                <w:color w:val="000000" w:themeColor="text1"/>
                <w:sz w:val="19"/>
                <w:szCs w:val="19"/>
              </w:rPr>
            </w:pPr>
          </w:p>
        </w:tc>
        <w:tc>
          <w:tcPr>
            <w:tcW w:w="563" w:type="pct"/>
            <w:tcBorders>
              <w:top w:val="nil"/>
              <w:left w:val="nil"/>
              <w:bottom w:val="single" w:sz="4" w:space="0" w:color="auto"/>
              <w:right w:val="nil"/>
            </w:tcBorders>
            <w:shd w:val="clear" w:color="auto" w:fill="auto"/>
            <w:vAlign w:val="center"/>
            <w:hideMark/>
          </w:tcPr>
          <w:p w14:paraId="13DDAC16"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Legal &amp; Regulatory</w:t>
            </w:r>
          </w:p>
        </w:tc>
        <w:tc>
          <w:tcPr>
            <w:tcW w:w="706" w:type="pct"/>
            <w:tcBorders>
              <w:top w:val="nil"/>
              <w:left w:val="nil"/>
              <w:bottom w:val="single" w:sz="4" w:space="0" w:color="auto"/>
              <w:right w:val="nil"/>
            </w:tcBorders>
            <w:shd w:val="clear" w:color="auto" w:fill="auto"/>
            <w:vAlign w:val="center"/>
            <w:hideMark/>
          </w:tcPr>
          <w:p w14:paraId="3A1F9159"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Compliance</w:t>
            </w:r>
          </w:p>
        </w:tc>
        <w:tc>
          <w:tcPr>
            <w:tcW w:w="1095" w:type="pct"/>
            <w:tcBorders>
              <w:top w:val="nil"/>
              <w:left w:val="nil"/>
              <w:bottom w:val="single" w:sz="4" w:space="0" w:color="auto"/>
              <w:right w:val="nil"/>
            </w:tcBorders>
            <w:shd w:val="clear" w:color="auto" w:fill="auto"/>
            <w:vAlign w:val="center"/>
            <w:hideMark/>
          </w:tcPr>
          <w:p w14:paraId="6817D680"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Regulatory Compliance, Risk Assessment &amp; Management</w:t>
            </w:r>
          </w:p>
        </w:tc>
        <w:tc>
          <w:tcPr>
            <w:tcW w:w="1095" w:type="pct"/>
            <w:tcBorders>
              <w:top w:val="nil"/>
              <w:left w:val="nil"/>
              <w:bottom w:val="single" w:sz="4" w:space="0" w:color="auto"/>
              <w:right w:val="nil"/>
            </w:tcBorders>
            <w:shd w:val="clear" w:color="auto" w:fill="auto"/>
            <w:vAlign w:val="center"/>
            <w:hideMark/>
          </w:tcPr>
          <w:p w14:paraId="758CDE2A"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w:t>
            </w:r>
          </w:p>
        </w:tc>
        <w:tc>
          <w:tcPr>
            <w:tcW w:w="1095" w:type="pct"/>
            <w:tcBorders>
              <w:top w:val="nil"/>
              <w:left w:val="nil"/>
              <w:bottom w:val="single" w:sz="4" w:space="0" w:color="auto"/>
              <w:right w:val="nil"/>
            </w:tcBorders>
            <w:shd w:val="clear" w:color="auto" w:fill="auto"/>
            <w:vAlign w:val="center"/>
            <w:hideMark/>
          </w:tcPr>
          <w:p w14:paraId="3833E027"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Goal 16: Peace and Justice Strong Institutions</w:t>
            </w:r>
          </w:p>
        </w:tc>
      </w:tr>
      <w:tr w:rsidR="00C22C47" w:rsidRPr="00C22C47" w14:paraId="5AA3D456" w14:textId="77777777" w:rsidTr="008570E3">
        <w:trPr>
          <w:trHeight w:val="290"/>
          <w:jc w:val="center"/>
        </w:trPr>
        <w:tc>
          <w:tcPr>
            <w:tcW w:w="447" w:type="pct"/>
            <w:vMerge/>
            <w:tcBorders>
              <w:top w:val="single" w:sz="4" w:space="0" w:color="auto"/>
              <w:left w:val="nil"/>
              <w:bottom w:val="single" w:sz="4" w:space="0" w:color="000000"/>
              <w:right w:val="nil"/>
            </w:tcBorders>
            <w:vAlign w:val="center"/>
            <w:hideMark/>
          </w:tcPr>
          <w:p w14:paraId="4361B3C7" w14:textId="77777777" w:rsidR="00373C11" w:rsidRPr="00D077F9" w:rsidRDefault="00373C11" w:rsidP="008570E3">
            <w:pPr>
              <w:spacing w:before="0" w:after="0"/>
              <w:jc w:val="center"/>
              <w:rPr>
                <w:color w:val="000000" w:themeColor="text1"/>
                <w:sz w:val="19"/>
                <w:szCs w:val="19"/>
              </w:rPr>
            </w:pPr>
          </w:p>
        </w:tc>
        <w:tc>
          <w:tcPr>
            <w:tcW w:w="563" w:type="pct"/>
            <w:tcBorders>
              <w:top w:val="nil"/>
              <w:left w:val="nil"/>
              <w:bottom w:val="single" w:sz="4" w:space="0" w:color="auto"/>
              <w:right w:val="nil"/>
            </w:tcBorders>
            <w:shd w:val="clear" w:color="auto" w:fill="auto"/>
            <w:vAlign w:val="center"/>
            <w:hideMark/>
          </w:tcPr>
          <w:p w14:paraId="163AC412" w14:textId="369996FD" w:rsidR="00373C11" w:rsidRPr="00D077F9" w:rsidRDefault="00F70E2B" w:rsidP="008570E3">
            <w:pPr>
              <w:spacing w:before="0" w:after="0"/>
              <w:jc w:val="center"/>
              <w:rPr>
                <w:b/>
                <w:color w:val="000000" w:themeColor="text1"/>
                <w:sz w:val="19"/>
                <w:szCs w:val="19"/>
              </w:rPr>
            </w:pPr>
            <w:r w:rsidRPr="00D077F9">
              <w:rPr>
                <w:b/>
                <w:color w:val="000000" w:themeColor="text1"/>
                <w:sz w:val="19"/>
                <w:szCs w:val="19"/>
              </w:rPr>
              <w:t>Efficiency</w:t>
            </w:r>
          </w:p>
        </w:tc>
        <w:tc>
          <w:tcPr>
            <w:tcW w:w="706" w:type="pct"/>
            <w:tcBorders>
              <w:top w:val="nil"/>
              <w:left w:val="nil"/>
              <w:bottom w:val="single" w:sz="4" w:space="0" w:color="auto"/>
              <w:right w:val="nil"/>
            </w:tcBorders>
            <w:shd w:val="clear" w:color="auto" w:fill="auto"/>
            <w:vAlign w:val="center"/>
            <w:hideMark/>
          </w:tcPr>
          <w:p w14:paraId="678093CB" w14:textId="14CA1911" w:rsidR="00373C11" w:rsidRPr="00D077F9" w:rsidRDefault="00373C11" w:rsidP="008570E3">
            <w:pPr>
              <w:spacing w:before="0" w:after="0"/>
              <w:jc w:val="center"/>
              <w:rPr>
                <w:b/>
                <w:color w:val="000000" w:themeColor="text1"/>
                <w:sz w:val="19"/>
                <w:szCs w:val="19"/>
              </w:rPr>
            </w:pPr>
            <w:commentRangeStart w:id="25"/>
            <w:r w:rsidRPr="00D077F9">
              <w:rPr>
                <w:b/>
                <w:color w:val="000000" w:themeColor="text1"/>
                <w:sz w:val="19"/>
                <w:szCs w:val="19"/>
              </w:rPr>
              <w:t>Design Efficiency</w:t>
            </w:r>
            <w:commentRangeEnd w:id="25"/>
            <w:r w:rsidR="00A930D2" w:rsidRPr="00D077F9">
              <w:rPr>
                <w:rStyle w:val="CommentReference"/>
                <w:color w:val="000000" w:themeColor="text1"/>
                <w:sz w:val="19"/>
                <w:szCs w:val="19"/>
              </w:rPr>
              <w:commentReference w:id="25"/>
            </w:r>
          </w:p>
        </w:tc>
        <w:tc>
          <w:tcPr>
            <w:tcW w:w="1095" w:type="pct"/>
            <w:tcBorders>
              <w:top w:val="nil"/>
              <w:left w:val="nil"/>
              <w:bottom w:val="single" w:sz="4" w:space="0" w:color="auto"/>
              <w:right w:val="nil"/>
            </w:tcBorders>
            <w:shd w:val="clear" w:color="auto" w:fill="auto"/>
            <w:vAlign w:val="center"/>
            <w:hideMark/>
          </w:tcPr>
          <w:p w14:paraId="4AB2C7DC" w14:textId="5A2D843E" w:rsidR="00373C11" w:rsidRPr="00D077F9" w:rsidRDefault="00F70E2B" w:rsidP="008570E3">
            <w:pPr>
              <w:spacing w:before="0" w:after="0"/>
              <w:jc w:val="center"/>
              <w:rPr>
                <w:color w:val="000000" w:themeColor="text1"/>
                <w:sz w:val="19"/>
                <w:szCs w:val="19"/>
              </w:rPr>
            </w:pPr>
            <w:r w:rsidRPr="00D077F9">
              <w:rPr>
                <w:color w:val="000000" w:themeColor="text1"/>
                <w:sz w:val="19"/>
                <w:szCs w:val="19"/>
              </w:rPr>
              <w:t>Equipment efficiency</w:t>
            </w:r>
          </w:p>
        </w:tc>
        <w:tc>
          <w:tcPr>
            <w:tcW w:w="1095" w:type="pct"/>
            <w:tcBorders>
              <w:top w:val="nil"/>
              <w:left w:val="nil"/>
              <w:bottom w:val="single" w:sz="4" w:space="0" w:color="auto"/>
              <w:right w:val="nil"/>
            </w:tcBorders>
            <w:shd w:val="clear" w:color="auto" w:fill="auto"/>
            <w:vAlign w:val="center"/>
            <w:hideMark/>
          </w:tcPr>
          <w:p w14:paraId="47AA1917"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w:t>
            </w:r>
          </w:p>
        </w:tc>
        <w:tc>
          <w:tcPr>
            <w:tcW w:w="1095" w:type="pct"/>
            <w:tcBorders>
              <w:top w:val="nil"/>
              <w:left w:val="nil"/>
              <w:bottom w:val="single" w:sz="4" w:space="0" w:color="auto"/>
              <w:right w:val="nil"/>
            </w:tcBorders>
            <w:shd w:val="clear" w:color="auto" w:fill="auto"/>
            <w:vAlign w:val="center"/>
            <w:hideMark/>
          </w:tcPr>
          <w:p w14:paraId="63915CD9"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Goal 9: Industry, Innovation, and Infrastructure</w:t>
            </w:r>
          </w:p>
        </w:tc>
      </w:tr>
      <w:tr w:rsidR="00C22C47" w:rsidRPr="00C22C47" w14:paraId="09D104C0" w14:textId="77777777" w:rsidTr="008570E3">
        <w:trPr>
          <w:trHeight w:val="500"/>
          <w:jc w:val="center"/>
        </w:trPr>
        <w:tc>
          <w:tcPr>
            <w:tcW w:w="447" w:type="pct"/>
            <w:vMerge/>
            <w:tcBorders>
              <w:top w:val="single" w:sz="4" w:space="0" w:color="auto"/>
              <w:left w:val="nil"/>
              <w:bottom w:val="single" w:sz="4" w:space="0" w:color="000000"/>
              <w:right w:val="nil"/>
            </w:tcBorders>
            <w:vAlign w:val="center"/>
            <w:hideMark/>
          </w:tcPr>
          <w:p w14:paraId="5A15C979" w14:textId="77777777" w:rsidR="00373C11" w:rsidRPr="00D077F9" w:rsidRDefault="00373C11" w:rsidP="008570E3">
            <w:pPr>
              <w:spacing w:before="0" w:after="0"/>
              <w:jc w:val="center"/>
              <w:rPr>
                <w:color w:val="000000" w:themeColor="text1"/>
                <w:sz w:val="19"/>
                <w:szCs w:val="19"/>
              </w:rPr>
            </w:pPr>
          </w:p>
        </w:tc>
        <w:tc>
          <w:tcPr>
            <w:tcW w:w="563" w:type="pct"/>
            <w:tcBorders>
              <w:top w:val="nil"/>
              <w:left w:val="nil"/>
              <w:bottom w:val="single" w:sz="4" w:space="0" w:color="auto"/>
              <w:right w:val="nil"/>
            </w:tcBorders>
            <w:shd w:val="clear" w:color="auto" w:fill="auto"/>
            <w:vAlign w:val="center"/>
            <w:hideMark/>
          </w:tcPr>
          <w:p w14:paraId="10DF05D2"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Others</w:t>
            </w:r>
          </w:p>
        </w:tc>
        <w:tc>
          <w:tcPr>
            <w:tcW w:w="706" w:type="pct"/>
            <w:tcBorders>
              <w:top w:val="nil"/>
              <w:left w:val="nil"/>
              <w:bottom w:val="single" w:sz="4" w:space="0" w:color="auto"/>
              <w:right w:val="nil"/>
            </w:tcBorders>
            <w:shd w:val="clear" w:color="auto" w:fill="auto"/>
            <w:vAlign w:val="center"/>
            <w:hideMark/>
          </w:tcPr>
          <w:p w14:paraId="56EEFB1E" w14:textId="77777777" w:rsidR="00373C11" w:rsidRPr="00D077F9" w:rsidRDefault="00373C11" w:rsidP="008570E3">
            <w:pPr>
              <w:spacing w:before="0" w:after="0"/>
              <w:jc w:val="center"/>
              <w:rPr>
                <w:b/>
                <w:color w:val="000000" w:themeColor="text1"/>
                <w:sz w:val="19"/>
                <w:szCs w:val="19"/>
              </w:rPr>
            </w:pPr>
            <w:r w:rsidRPr="00D077F9">
              <w:rPr>
                <w:b/>
                <w:color w:val="000000" w:themeColor="text1"/>
                <w:sz w:val="19"/>
                <w:szCs w:val="19"/>
              </w:rPr>
              <w:t>Miscellaneous</w:t>
            </w:r>
          </w:p>
        </w:tc>
        <w:tc>
          <w:tcPr>
            <w:tcW w:w="1095" w:type="pct"/>
            <w:tcBorders>
              <w:top w:val="nil"/>
              <w:left w:val="nil"/>
              <w:bottom w:val="single" w:sz="4" w:space="0" w:color="auto"/>
              <w:right w:val="nil"/>
            </w:tcBorders>
            <w:shd w:val="clear" w:color="auto" w:fill="auto"/>
            <w:vAlign w:val="center"/>
            <w:hideMark/>
          </w:tcPr>
          <w:p w14:paraId="29247FB9"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Feedstock Production Impact, Gas Infrastructure Integrity, Mining Waste Management</w:t>
            </w:r>
          </w:p>
        </w:tc>
        <w:tc>
          <w:tcPr>
            <w:tcW w:w="1095" w:type="pct"/>
            <w:tcBorders>
              <w:top w:val="nil"/>
              <w:left w:val="nil"/>
              <w:bottom w:val="single" w:sz="4" w:space="0" w:color="auto"/>
              <w:right w:val="nil"/>
            </w:tcBorders>
            <w:shd w:val="clear" w:color="auto" w:fill="auto"/>
            <w:vAlign w:val="center"/>
            <w:hideMark/>
          </w:tcPr>
          <w:p w14:paraId="78449D2B"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Significant Spills, Customer Privacy Incidents</w:t>
            </w:r>
          </w:p>
        </w:tc>
        <w:tc>
          <w:tcPr>
            <w:tcW w:w="1095" w:type="pct"/>
            <w:tcBorders>
              <w:top w:val="nil"/>
              <w:left w:val="nil"/>
              <w:bottom w:val="single" w:sz="4" w:space="0" w:color="auto"/>
              <w:right w:val="nil"/>
            </w:tcBorders>
            <w:shd w:val="clear" w:color="auto" w:fill="auto"/>
            <w:vAlign w:val="center"/>
            <w:hideMark/>
          </w:tcPr>
          <w:p w14:paraId="7B4E66F7" w14:textId="77777777" w:rsidR="00373C11" w:rsidRPr="00D077F9" w:rsidRDefault="00373C11" w:rsidP="008570E3">
            <w:pPr>
              <w:spacing w:before="0" w:after="0"/>
              <w:jc w:val="center"/>
              <w:rPr>
                <w:color w:val="000000" w:themeColor="text1"/>
                <w:sz w:val="19"/>
                <w:szCs w:val="19"/>
              </w:rPr>
            </w:pPr>
            <w:r w:rsidRPr="00D077F9">
              <w:rPr>
                <w:color w:val="000000" w:themeColor="text1"/>
                <w:sz w:val="19"/>
                <w:szCs w:val="19"/>
              </w:rPr>
              <w:t>Goal 9: Industry, Innovation, and Infrastructure</w:t>
            </w:r>
          </w:p>
        </w:tc>
      </w:tr>
    </w:tbl>
    <w:p w14:paraId="28AF8C31" w14:textId="77777777" w:rsidR="00027416" w:rsidRPr="00D077F9" w:rsidRDefault="00027416" w:rsidP="002B38D3"/>
    <w:p w14:paraId="32ED41A4" w14:textId="09449FB5" w:rsidR="0DB84092" w:rsidRPr="00C22C47" w:rsidRDefault="0629029B" w:rsidP="005F2F08">
      <w:pPr>
        <w:pStyle w:val="Heading3"/>
        <w:rPr>
          <w:i/>
          <w:iCs/>
        </w:rPr>
      </w:pPr>
      <w:bookmarkStart w:id="26" w:name="_Toc146147244"/>
      <w:r w:rsidRPr="00C22C47">
        <w:t xml:space="preserve">Social </w:t>
      </w:r>
      <w:r w:rsidR="64D3D59F" w:rsidRPr="00C22C47">
        <w:t>Objectives</w:t>
      </w:r>
      <w:bookmarkEnd w:id="26"/>
    </w:p>
    <w:p w14:paraId="0F3FF650" w14:textId="0ABDBE90" w:rsidR="00595463" w:rsidRPr="00C22C47" w:rsidRDefault="00595463" w:rsidP="00B22084">
      <w:pPr>
        <w:pStyle w:val="Subtitle"/>
        <w:rPr>
          <w:i/>
          <w:iCs/>
          <w:color w:val="000000" w:themeColor="text1"/>
        </w:rPr>
      </w:pPr>
      <w:r w:rsidRPr="00C22C47">
        <w:rPr>
          <w:color w:val="000000" w:themeColor="text1"/>
        </w:rPr>
        <w:t xml:space="preserve">Table </w:t>
      </w:r>
      <w:r w:rsidR="00920C73" w:rsidRPr="00C22C47">
        <w:rPr>
          <w:color w:val="000000" w:themeColor="text1"/>
        </w:rPr>
        <w:fldChar w:fldCharType="begin"/>
      </w:r>
      <w:r w:rsidR="00920C73" w:rsidRPr="00C22C47">
        <w:rPr>
          <w:color w:val="000000" w:themeColor="text1"/>
        </w:rPr>
        <w:instrText xml:space="preserve"> SEQ Table \* ARABIC </w:instrText>
      </w:r>
      <w:r w:rsidR="00920C73" w:rsidRPr="00C22C47">
        <w:rPr>
          <w:color w:val="000000" w:themeColor="text1"/>
        </w:rPr>
        <w:fldChar w:fldCharType="separate"/>
      </w:r>
      <w:r w:rsidR="00B01D58">
        <w:rPr>
          <w:noProof/>
          <w:color w:val="000000" w:themeColor="text1"/>
        </w:rPr>
        <w:t>6</w:t>
      </w:r>
      <w:r w:rsidR="00920C73" w:rsidRPr="00C22C47">
        <w:rPr>
          <w:noProof/>
          <w:color w:val="000000" w:themeColor="text1"/>
        </w:rPr>
        <w:fldChar w:fldCharType="end"/>
      </w:r>
      <w:r w:rsidRPr="00C22C47">
        <w:rPr>
          <w:color w:val="000000" w:themeColor="text1"/>
        </w:rPr>
        <w:t xml:space="preserve">. SASB, GRI and SDG overlapping metrics divided into major and subcategories under the broader social aspect. </w:t>
      </w:r>
    </w:p>
    <w:tbl>
      <w:tblPr>
        <w:tblW w:w="5000" w:type="pct"/>
        <w:jc w:val="center"/>
        <w:tblLook w:val="04A0" w:firstRow="1" w:lastRow="0" w:firstColumn="1" w:lastColumn="0" w:noHBand="0" w:noVBand="1"/>
      </w:tblPr>
      <w:tblGrid>
        <w:gridCol w:w="838"/>
        <w:gridCol w:w="1280"/>
        <w:gridCol w:w="1503"/>
        <w:gridCol w:w="1801"/>
        <w:gridCol w:w="1971"/>
        <w:gridCol w:w="1967"/>
      </w:tblGrid>
      <w:tr w:rsidR="00C22C47" w:rsidRPr="00C22C47" w14:paraId="38B8FAA3" w14:textId="77777777" w:rsidTr="00270A2B">
        <w:trPr>
          <w:trHeight w:val="302"/>
          <w:tblHeader/>
          <w:jc w:val="center"/>
        </w:trPr>
        <w:tc>
          <w:tcPr>
            <w:tcW w:w="447" w:type="pct"/>
            <w:tcBorders>
              <w:top w:val="single" w:sz="4" w:space="0" w:color="auto"/>
              <w:left w:val="nil"/>
              <w:bottom w:val="single" w:sz="4" w:space="0" w:color="000000"/>
              <w:right w:val="nil"/>
            </w:tcBorders>
            <w:shd w:val="clear" w:color="auto" w:fill="auto"/>
            <w:vAlign w:val="center"/>
            <w:hideMark/>
          </w:tcPr>
          <w:p w14:paraId="0D9BEE30"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Aspect</w:t>
            </w:r>
          </w:p>
        </w:tc>
        <w:tc>
          <w:tcPr>
            <w:tcW w:w="684" w:type="pct"/>
            <w:tcBorders>
              <w:top w:val="single" w:sz="4" w:space="0" w:color="auto"/>
              <w:left w:val="nil"/>
              <w:bottom w:val="single" w:sz="4" w:space="0" w:color="000000"/>
              <w:right w:val="nil"/>
            </w:tcBorders>
            <w:shd w:val="clear" w:color="auto" w:fill="auto"/>
            <w:vAlign w:val="center"/>
            <w:hideMark/>
          </w:tcPr>
          <w:p w14:paraId="320D5CA3"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Category</w:t>
            </w:r>
          </w:p>
        </w:tc>
        <w:tc>
          <w:tcPr>
            <w:tcW w:w="803" w:type="pct"/>
            <w:tcBorders>
              <w:top w:val="single" w:sz="4" w:space="0" w:color="auto"/>
              <w:left w:val="nil"/>
              <w:bottom w:val="single" w:sz="4" w:space="0" w:color="auto"/>
              <w:right w:val="nil"/>
            </w:tcBorders>
            <w:shd w:val="clear" w:color="auto" w:fill="auto"/>
            <w:vAlign w:val="center"/>
            <w:hideMark/>
          </w:tcPr>
          <w:p w14:paraId="45A7B1B5"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Sub-Category</w:t>
            </w:r>
          </w:p>
        </w:tc>
        <w:tc>
          <w:tcPr>
            <w:tcW w:w="962" w:type="pct"/>
            <w:tcBorders>
              <w:top w:val="single" w:sz="4" w:space="0" w:color="auto"/>
              <w:left w:val="nil"/>
              <w:bottom w:val="single" w:sz="4" w:space="0" w:color="auto"/>
              <w:right w:val="nil"/>
            </w:tcBorders>
            <w:shd w:val="clear" w:color="auto" w:fill="auto"/>
            <w:vAlign w:val="center"/>
            <w:hideMark/>
          </w:tcPr>
          <w:p w14:paraId="4D593416"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SASB Metrics</w:t>
            </w:r>
          </w:p>
        </w:tc>
        <w:tc>
          <w:tcPr>
            <w:tcW w:w="1053" w:type="pct"/>
            <w:tcBorders>
              <w:top w:val="single" w:sz="4" w:space="0" w:color="auto"/>
              <w:left w:val="nil"/>
              <w:bottom w:val="single" w:sz="4" w:space="0" w:color="auto"/>
              <w:right w:val="nil"/>
            </w:tcBorders>
            <w:shd w:val="clear" w:color="auto" w:fill="auto"/>
            <w:vAlign w:val="center"/>
            <w:hideMark/>
          </w:tcPr>
          <w:p w14:paraId="723006D5"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GRI Metrics</w:t>
            </w:r>
          </w:p>
        </w:tc>
        <w:tc>
          <w:tcPr>
            <w:tcW w:w="1052" w:type="pct"/>
            <w:tcBorders>
              <w:top w:val="single" w:sz="4" w:space="0" w:color="auto"/>
              <w:left w:val="nil"/>
              <w:bottom w:val="single" w:sz="4" w:space="0" w:color="auto"/>
              <w:right w:val="nil"/>
            </w:tcBorders>
            <w:shd w:val="clear" w:color="auto" w:fill="auto"/>
            <w:vAlign w:val="center"/>
            <w:hideMark/>
          </w:tcPr>
          <w:p w14:paraId="3783073A"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Relevant SDG Goal</w:t>
            </w:r>
          </w:p>
        </w:tc>
      </w:tr>
      <w:tr w:rsidR="00C22C47" w:rsidRPr="00C22C47" w14:paraId="15EC5ED5" w14:textId="77777777" w:rsidTr="00270A2B">
        <w:trPr>
          <w:trHeight w:val="750"/>
          <w:jc w:val="center"/>
        </w:trPr>
        <w:tc>
          <w:tcPr>
            <w:tcW w:w="447" w:type="pct"/>
            <w:vMerge w:val="restart"/>
            <w:tcBorders>
              <w:top w:val="single" w:sz="4" w:space="0" w:color="auto"/>
              <w:left w:val="nil"/>
              <w:bottom w:val="single" w:sz="4" w:space="0" w:color="000000"/>
              <w:right w:val="nil"/>
            </w:tcBorders>
            <w:shd w:val="clear" w:color="auto" w:fill="auto"/>
            <w:textDirection w:val="btLr"/>
            <w:vAlign w:val="center"/>
            <w:hideMark/>
          </w:tcPr>
          <w:p w14:paraId="670D9A52"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Social</w:t>
            </w:r>
          </w:p>
        </w:tc>
        <w:tc>
          <w:tcPr>
            <w:tcW w:w="684" w:type="pct"/>
            <w:vMerge w:val="restart"/>
            <w:tcBorders>
              <w:top w:val="single" w:sz="4" w:space="0" w:color="auto"/>
              <w:left w:val="nil"/>
              <w:bottom w:val="single" w:sz="4" w:space="0" w:color="000000"/>
              <w:right w:val="nil"/>
            </w:tcBorders>
            <w:shd w:val="clear" w:color="auto" w:fill="auto"/>
            <w:vAlign w:val="center"/>
            <w:hideMark/>
          </w:tcPr>
          <w:p w14:paraId="0FE62CEF"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Safety &amp; Health</w:t>
            </w:r>
          </w:p>
        </w:tc>
        <w:tc>
          <w:tcPr>
            <w:tcW w:w="803" w:type="pct"/>
            <w:tcBorders>
              <w:top w:val="single" w:sz="4" w:space="0" w:color="auto"/>
              <w:left w:val="nil"/>
              <w:bottom w:val="single" w:sz="4" w:space="0" w:color="auto"/>
              <w:right w:val="nil"/>
            </w:tcBorders>
            <w:shd w:val="clear" w:color="auto" w:fill="auto"/>
            <w:vAlign w:val="center"/>
            <w:hideMark/>
          </w:tcPr>
          <w:p w14:paraId="0C568AF1"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Workplace Safety</w:t>
            </w:r>
          </w:p>
        </w:tc>
        <w:tc>
          <w:tcPr>
            <w:tcW w:w="962" w:type="pct"/>
            <w:tcBorders>
              <w:top w:val="single" w:sz="4" w:space="0" w:color="auto"/>
              <w:left w:val="nil"/>
              <w:bottom w:val="single" w:sz="4" w:space="0" w:color="auto"/>
              <w:right w:val="nil"/>
            </w:tcBorders>
            <w:shd w:val="clear" w:color="auto" w:fill="auto"/>
            <w:vAlign w:val="center"/>
            <w:hideMark/>
          </w:tcPr>
          <w:p w14:paraId="6F1D0947"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Safety Protocols &amp; Emergency Response, Workforce Health and Safety, Worker Safety &amp; Health, Employee Well-being &amp; Safety, Nuclear Safety Protocols, Incident Response &amp; Prevention</w:t>
            </w:r>
          </w:p>
        </w:tc>
        <w:tc>
          <w:tcPr>
            <w:tcW w:w="1053" w:type="pct"/>
            <w:tcBorders>
              <w:top w:val="single" w:sz="4" w:space="0" w:color="auto"/>
              <w:left w:val="nil"/>
              <w:bottom w:val="single" w:sz="4" w:space="0" w:color="auto"/>
              <w:right w:val="nil"/>
            </w:tcBorders>
            <w:shd w:val="clear" w:color="auto" w:fill="auto"/>
            <w:vAlign w:val="center"/>
            <w:hideMark/>
          </w:tcPr>
          <w:p w14:paraId="47F9DECE"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Health &amp; Safety Coverage, Work Injuries, Work Illness, Product Health &amp; Safety Assessment, Product Health &amp; Safety Non-Compliance</w:t>
            </w:r>
          </w:p>
        </w:tc>
        <w:tc>
          <w:tcPr>
            <w:tcW w:w="1052" w:type="pct"/>
            <w:tcBorders>
              <w:top w:val="single" w:sz="4" w:space="0" w:color="auto"/>
              <w:left w:val="nil"/>
              <w:bottom w:val="single" w:sz="4" w:space="0" w:color="auto"/>
              <w:right w:val="nil"/>
            </w:tcBorders>
            <w:shd w:val="clear" w:color="auto" w:fill="auto"/>
            <w:vAlign w:val="center"/>
            <w:hideMark/>
          </w:tcPr>
          <w:p w14:paraId="57E561F8"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Goal 3: Good Health and Well-being, Goal 8: Decent Work and Economic Growth</w:t>
            </w:r>
          </w:p>
        </w:tc>
      </w:tr>
      <w:tr w:rsidR="00C22C47" w:rsidRPr="00C22C47" w14:paraId="4D961688" w14:textId="77777777" w:rsidTr="00270A2B">
        <w:trPr>
          <w:trHeight w:val="290"/>
          <w:jc w:val="center"/>
        </w:trPr>
        <w:tc>
          <w:tcPr>
            <w:tcW w:w="447" w:type="pct"/>
            <w:vMerge/>
            <w:tcBorders>
              <w:top w:val="single" w:sz="4" w:space="0" w:color="auto"/>
              <w:left w:val="nil"/>
              <w:bottom w:val="single" w:sz="4" w:space="0" w:color="000000"/>
              <w:right w:val="nil"/>
            </w:tcBorders>
            <w:vAlign w:val="center"/>
            <w:hideMark/>
          </w:tcPr>
          <w:p w14:paraId="27FECEE6" w14:textId="77777777" w:rsidR="00FD20CC" w:rsidRPr="00D077F9" w:rsidRDefault="00FD20CC" w:rsidP="001C42D0">
            <w:pPr>
              <w:spacing w:before="0" w:after="0"/>
              <w:jc w:val="center"/>
              <w:rPr>
                <w:b/>
                <w:color w:val="000000" w:themeColor="text1"/>
                <w:sz w:val="19"/>
                <w:szCs w:val="19"/>
              </w:rPr>
            </w:pPr>
          </w:p>
        </w:tc>
        <w:tc>
          <w:tcPr>
            <w:tcW w:w="684" w:type="pct"/>
            <w:vMerge/>
            <w:tcBorders>
              <w:top w:val="single" w:sz="4" w:space="0" w:color="auto"/>
              <w:left w:val="nil"/>
              <w:bottom w:val="single" w:sz="4" w:space="0" w:color="000000"/>
              <w:right w:val="nil"/>
            </w:tcBorders>
            <w:vAlign w:val="center"/>
            <w:hideMark/>
          </w:tcPr>
          <w:p w14:paraId="755405E6" w14:textId="77777777" w:rsidR="00FD20CC" w:rsidRPr="00D077F9" w:rsidRDefault="00FD20CC" w:rsidP="001C42D0">
            <w:pPr>
              <w:spacing w:before="0" w:after="0"/>
              <w:jc w:val="center"/>
              <w:rPr>
                <w:b/>
                <w:color w:val="000000" w:themeColor="text1"/>
                <w:sz w:val="19"/>
                <w:szCs w:val="19"/>
              </w:rPr>
            </w:pPr>
          </w:p>
        </w:tc>
        <w:tc>
          <w:tcPr>
            <w:tcW w:w="803" w:type="pct"/>
            <w:tcBorders>
              <w:top w:val="nil"/>
              <w:left w:val="nil"/>
              <w:bottom w:val="single" w:sz="4" w:space="0" w:color="auto"/>
              <w:right w:val="nil"/>
            </w:tcBorders>
            <w:shd w:val="clear" w:color="auto" w:fill="auto"/>
            <w:vAlign w:val="center"/>
            <w:hideMark/>
          </w:tcPr>
          <w:p w14:paraId="3373392C"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Product Safety</w:t>
            </w:r>
          </w:p>
        </w:tc>
        <w:tc>
          <w:tcPr>
            <w:tcW w:w="962" w:type="pct"/>
            <w:tcBorders>
              <w:top w:val="nil"/>
              <w:left w:val="nil"/>
              <w:bottom w:val="single" w:sz="4" w:space="0" w:color="auto"/>
              <w:right w:val="nil"/>
            </w:tcBorders>
            <w:shd w:val="clear" w:color="auto" w:fill="auto"/>
            <w:vAlign w:val="center"/>
            <w:hideMark/>
          </w:tcPr>
          <w:p w14:paraId="6665271F"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Safety Standards for Products</w:t>
            </w:r>
          </w:p>
        </w:tc>
        <w:tc>
          <w:tcPr>
            <w:tcW w:w="1053" w:type="pct"/>
            <w:tcBorders>
              <w:top w:val="nil"/>
              <w:left w:val="nil"/>
              <w:bottom w:val="single" w:sz="4" w:space="0" w:color="auto"/>
              <w:right w:val="nil"/>
            </w:tcBorders>
            <w:shd w:val="clear" w:color="auto" w:fill="auto"/>
            <w:vAlign w:val="center"/>
            <w:hideMark/>
          </w:tcPr>
          <w:p w14:paraId="519ABDCE"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w:t>
            </w:r>
          </w:p>
        </w:tc>
        <w:tc>
          <w:tcPr>
            <w:tcW w:w="1052" w:type="pct"/>
            <w:tcBorders>
              <w:top w:val="nil"/>
              <w:left w:val="nil"/>
              <w:bottom w:val="single" w:sz="4" w:space="0" w:color="auto"/>
              <w:right w:val="nil"/>
            </w:tcBorders>
            <w:shd w:val="clear" w:color="auto" w:fill="auto"/>
            <w:vAlign w:val="center"/>
            <w:hideMark/>
          </w:tcPr>
          <w:p w14:paraId="3870771B"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Goal 12: Responsible Consumption and Production</w:t>
            </w:r>
          </w:p>
        </w:tc>
      </w:tr>
      <w:tr w:rsidR="00C22C47" w:rsidRPr="00C22C47" w14:paraId="5F0FE467" w14:textId="77777777" w:rsidTr="00270A2B">
        <w:trPr>
          <w:trHeight w:val="290"/>
          <w:jc w:val="center"/>
        </w:trPr>
        <w:tc>
          <w:tcPr>
            <w:tcW w:w="447" w:type="pct"/>
            <w:vMerge/>
            <w:tcBorders>
              <w:top w:val="single" w:sz="4" w:space="0" w:color="auto"/>
              <w:left w:val="nil"/>
              <w:bottom w:val="single" w:sz="4" w:space="0" w:color="000000"/>
              <w:right w:val="nil"/>
            </w:tcBorders>
            <w:vAlign w:val="center"/>
            <w:hideMark/>
          </w:tcPr>
          <w:p w14:paraId="11EB4370" w14:textId="77777777" w:rsidR="00FD20CC" w:rsidRPr="00D077F9" w:rsidRDefault="00FD20CC" w:rsidP="001C42D0">
            <w:pPr>
              <w:spacing w:before="0" w:after="0"/>
              <w:jc w:val="center"/>
              <w:rPr>
                <w:b/>
                <w:color w:val="000000" w:themeColor="text1"/>
                <w:sz w:val="19"/>
                <w:szCs w:val="19"/>
              </w:rPr>
            </w:pPr>
          </w:p>
        </w:tc>
        <w:tc>
          <w:tcPr>
            <w:tcW w:w="684" w:type="pct"/>
            <w:vMerge w:val="restart"/>
            <w:tcBorders>
              <w:top w:val="nil"/>
              <w:left w:val="nil"/>
              <w:bottom w:val="single" w:sz="4" w:space="0" w:color="000000"/>
              <w:right w:val="nil"/>
            </w:tcBorders>
            <w:shd w:val="clear" w:color="auto" w:fill="auto"/>
            <w:vAlign w:val="center"/>
            <w:hideMark/>
          </w:tcPr>
          <w:p w14:paraId="0986E5F9"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Community &amp; Social</w:t>
            </w:r>
          </w:p>
        </w:tc>
        <w:tc>
          <w:tcPr>
            <w:tcW w:w="803" w:type="pct"/>
            <w:tcBorders>
              <w:top w:val="nil"/>
              <w:left w:val="nil"/>
              <w:bottom w:val="single" w:sz="4" w:space="0" w:color="auto"/>
              <w:right w:val="nil"/>
            </w:tcBorders>
            <w:shd w:val="clear" w:color="auto" w:fill="auto"/>
            <w:vAlign w:val="center"/>
            <w:hideMark/>
          </w:tcPr>
          <w:p w14:paraId="17314379"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Community Engagement</w:t>
            </w:r>
          </w:p>
        </w:tc>
        <w:tc>
          <w:tcPr>
            <w:tcW w:w="962" w:type="pct"/>
            <w:tcBorders>
              <w:top w:val="nil"/>
              <w:left w:val="nil"/>
              <w:bottom w:val="single" w:sz="4" w:space="0" w:color="auto"/>
              <w:right w:val="nil"/>
            </w:tcBorders>
            <w:shd w:val="clear" w:color="auto" w:fill="auto"/>
            <w:vAlign w:val="center"/>
            <w:hideMark/>
          </w:tcPr>
          <w:p w14:paraId="57F62D68"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Community Relations, Community Engagement</w:t>
            </w:r>
          </w:p>
        </w:tc>
        <w:tc>
          <w:tcPr>
            <w:tcW w:w="1053" w:type="pct"/>
            <w:tcBorders>
              <w:top w:val="nil"/>
              <w:left w:val="nil"/>
              <w:bottom w:val="single" w:sz="4" w:space="0" w:color="auto"/>
              <w:right w:val="nil"/>
            </w:tcBorders>
            <w:shd w:val="clear" w:color="auto" w:fill="auto"/>
            <w:vAlign w:val="center"/>
            <w:hideMark/>
          </w:tcPr>
          <w:p w14:paraId="1A38CE51"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Community Engagement, Negative Community Impacts</w:t>
            </w:r>
          </w:p>
        </w:tc>
        <w:tc>
          <w:tcPr>
            <w:tcW w:w="1052" w:type="pct"/>
            <w:tcBorders>
              <w:top w:val="nil"/>
              <w:left w:val="nil"/>
              <w:bottom w:val="single" w:sz="4" w:space="0" w:color="auto"/>
              <w:right w:val="nil"/>
            </w:tcBorders>
            <w:shd w:val="clear" w:color="auto" w:fill="auto"/>
            <w:vAlign w:val="center"/>
            <w:hideMark/>
          </w:tcPr>
          <w:p w14:paraId="104FC39C"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Goal 11: Sustainable Cities and Communities</w:t>
            </w:r>
          </w:p>
        </w:tc>
      </w:tr>
      <w:tr w:rsidR="00C22C47" w:rsidRPr="00C22C47" w14:paraId="5BED3DD0" w14:textId="77777777" w:rsidTr="00270A2B">
        <w:trPr>
          <w:trHeight w:val="290"/>
          <w:jc w:val="center"/>
        </w:trPr>
        <w:tc>
          <w:tcPr>
            <w:tcW w:w="447" w:type="pct"/>
            <w:vMerge/>
            <w:tcBorders>
              <w:top w:val="single" w:sz="4" w:space="0" w:color="auto"/>
              <w:left w:val="nil"/>
              <w:bottom w:val="single" w:sz="4" w:space="0" w:color="000000"/>
              <w:right w:val="nil"/>
            </w:tcBorders>
            <w:vAlign w:val="center"/>
            <w:hideMark/>
          </w:tcPr>
          <w:p w14:paraId="7FBA2E1D" w14:textId="77777777" w:rsidR="00FD20CC" w:rsidRPr="00D077F9" w:rsidRDefault="00FD20CC" w:rsidP="001C42D0">
            <w:pPr>
              <w:spacing w:before="0" w:after="0"/>
              <w:jc w:val="center"/>
              <w:rPr>
                <w:b/>
                <w:color w:val="000000" w:themeColor="text1"/>
                <w:sz w:val="19"/>
                <w:szCs w:val="19"/>
              </w:rPr>
            </w:pPr>
          </w:p>
        </w:tc>
        <w:tc>
          <w:tcPr>
            <w:tcW w:w="684" w:type="pct"/>
            <w:vMerge/>
            <w:tcBorders>
              <w:top w:val="nil"/>
              <w:left w:val="nil"/>
              <w:bottom w:val="single" w:sz="4" w:space="0" w:color="000000"/>
              <w:right w:val="nil"/>
            </w:tcBorders>
            <w:vAlign w:val="center"/>
            <w:hideMark/>
          </w:tcPr>
          <w:p w14:paraId="2488018D" w14:textId="77777777" w:rsidR="00FD20CC" w:rsidRPr="00D077F9" w:rsidRDefault="00FD20CC" w:rsidP="001C42D0">
            <w:pPr>
              <w:spacing w:before="0" w:after="0"/>
              <w:jc w:val="center"/>
              <w:rPr>
                <w:b/>
                <w:color w:val="000000" w:themeColor="text1"/>
                <w:sz w:val="19"/>
                <w:szCs w:val="19"/>
              </w:rPr>
            </w:pPr>
          </w:p>
        </w:tc>
        <w:tc>
          <w:tcPr>
            <w:tcW w:w="803" w:type="pct"/>
            <w:tcBorders>
              <w:top w:val="nil"/>
              <w:left w:val="nil"/>
              <w:bottom w:val="single" w:sz="4" w:space="0" w:color="auto"/>
              <w:right w:val="nil"/>
            </w:tcBorders>
            <w:shd w:val="clear" w:color="auto" w:fill="auto"/>
            <w:vAlign w:val="center"/>
            <w:hideMark/>
          </w:tcPr>
          <w:p w14:paraId="10B0512C"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Rights &amp; Protections</w:t>
            </w:r>
          </w:p>
        </w:tc>
        <w:tc>
          <w:tcPr>
            <w:tcW w:w="962" w:type="pct"/>
            <w:tcBorders>
              <w:top w:val="nil"/>
              <w:left w:val="nil"/>
              <w:bottom w:val="single" w:sz="4" w:space="0" w:color="auto"/>
              <w:right w:val="nil"/>
            </w:tcBorders>
            <w:shd w:val="clear" w:color="auto" w:fill="auto"/>
            <w:vAlign w:val="center"/>
            <w:hideMark/>
          </w:tcPr>
          <w:p w14:paraId="5726BB62"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Indigenous Rights Protection, Security &amp; Indigenous Rights</w:t>
            </w:r>
          </w:p>
        </w:tc>
        <w:tc>
          <w:tcPr>
            <w:tcW w:w="1053" w:type="pct"/>
            <w:tcBorders>
              <w:top w:val="nil"/>
              <w:left w:val="nil"/>
              <w:bottom w:val="single" w:sz="4" w:space="0" w:color="auto"/>
              <w:right w:val="nil"/>
            </w:tcBorders>
            <w:shd w:val="clear" w:color="auto" w:fill="auto"/>
            <w:vAlign w:val="center"/>
            <w:hideMark/>
          </w:tcPr>
          <w:p w14:paraId="03EF7380"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Indigenous Rights Violations</w:t>
            </w:r>
          </w:p>
        </w:tc>
        <w:tc>
          <w:tcPr>
            <w:tcW w:w="1052" w:type="pct"/>
            <w:tcBorders>
              <w:top w:val="nil"/>
              <w:left w:val="nil"/>
              <w:bottom w:val="single" w:sz="4" w:space="0" w:color="auto"/>
              <w:right w:val="nil"/>
            </w:tcBorders>
            <w:shd w:val="clear" w:color="auto" w:fill="auto"/>
            <w:vAlign w:val="center"/>
            <w:hideMark/>
          </w:tcPr>
          <w:p w14:paraId="142EA143"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Goal 10: Reduced Inequality, Goal 16: Peace and Justice Strong Institutions</w:t>
            </w:r>
          </w:p>
        </w:tc>
      </w:tr>
      <w:tr w:rsidR="00FD20CC" w:rsidRPr="00C22C47" w14:paraId="357F847A" w14:textId="77777777" w:rsidTr="00F70E2B">
        <w:trPr>
          <w:trHeight w:val="566"/>
          <w:jc w:val="center"/>
        </w:trPr>
        <w:tc>
          <w:tcPr>
            <w:tcW w:w="447" w:type="pct"/>
            <w:vMerge/>
            <w:tcBorders>
              <w:top w:val="single" w:sz="4" w:space="0" w:color="auto"/>
              <w:left w:val="nil"/>
              <w:bottom w:val="single" w:sz="4" w:space="0" w:color="000000"/>
              <w:right w:val="nil"/>
            </w:tcBorders>
            <w:vAlign w:val="center"/>
            <w:hideMark/>
          </w:tcPr>
          <w:p w14:paraId="3769306D" w14:textId="77777777" w:rsidR="00FD20CC" w:rsidRPr="00D077F9" w:rsidRDefault="00FD20CC" w:rsidP="001C42D0">
            <w:pPr>
              <w:spacing w:before="0" w:after="0"/>
              <w:jc w:val="center"/>
              <w:rPr>
                <w:b/>
                <w:color w:val="000000" w:themeColor="text1"/>
                <w:sz w:val="19"/>
                <w:szCs w:val="19"/>
              </w:rPr>
            </w:pPr>
          </w:p>
        </w:tc>
        <w:tc>
          <w:tcPr>
            <w:tcW w:w="684" w:type="pct"/>
            <w:tcBorders>
              <w:top w:val="nil"/>
              <w:left w:val="nil"/>
              <w:bottom w:val="single" w:sz="4" w:space="0" w:color="auto"/>
              <w:right w:val="nil"/>
            </w:tcBorders>
            <w:shd w:val="clear" w:color="auto" w:fill="auto"/>
            <w:vAlign w:val="center"/>
            <w:hideMark/>
          </w:tcPr>
          <w:p w14:paraId="59739399"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Labor &amp; Workforce</w:t>
            </w:r>
          </w:p>
        </w:tc>
        <w:tc>
          <w:tcPr>
            <w:tcW w:w="803" w:type="pct"/>
            <w:tcBorders>
              <w:top w:val="nil"/>
              <w:left w:val="nil"/>
              <w:bottom w:val="single" w:sz="4" w:space="0" w:color="auto"/>
              <w:right w:val="nil"/>
            </w:tcBorders>
            <w:shd w:val="clear" w:color="auto" w:fill="auto"/>
            <w:vAlign w:val="center"/>
            <w:hideMark/>
          </w:tcPr>
          <w:p w14:paraId="41F231CB" w14:textId="77777777" w:rsidR="00FD20CC" w:rsidRPr="00D077F9" w:rsidRDefault="00FD20CC" w:rsidP="001C42D0">
            <w:pPr>
              <w:spacing w:before="0" w:after="0"/>
              <w:jc w:val="center"/>
              <w:rPr>
                <w:b/>
                <w:color w:val="000000" w:themeColor="text1"/>
                <w:sz w:val="19"/>
                <w:szCs w:val="19"/>
              </w:rPr>
            </w:pPr>
            <w:r w:rsidRPr="00D077F9">
              <w:rPr>
                <w:b/>
                <w:color w:val="000000" w:themeColor="text1"/>
                <w:sz w:val="19"/>
                <w:szCs w:val="19"/>
              </w:rPr>
              <w:t>Labor Practices</w:t>
            </w:r>
          </w:p>
        </w:tc>
        <w:tc>
          <w:tcPr>
            <w:tcW w:w="962" w:type="pct"/>
            <w:tcBorders>
              <w:top w:val="nil"/>
              <w:left w:val="nil"/>
              <w:bottom w:val="single" w:sz="4" w:space="0" w:color="auto"/>
              <w:right w:val="nil"/>
            </w:tcBorders>
            <w:shd w:val="clear" w:color="auto" w:fill="auto"/>
            <w:vAlign w:val="center"/>
            <w:hideMark/>
          </w:tcPr>
          <w:p w14:paraId="036D1117" w14:textId="1F19002F" w:rsidR="00FD20CC" w:rsidRPr="00D077F9" w:rsidRDefault="00F70E2B" w:rsidP="001C42D0">
            <w:pPr>
              <w:spacing w:before="0" w:after="0"/>
              <w:jc w:val="center"/>
              <w:rPr>
                <w:color w:val="000000" w:themeColor="text1"/>
                <w:sz w:val="19"/>
                <w:szCs w:val="19"/>
              </w:rPr>
            </w:pPr>
            <w:r w:rsidRPr="00D077F9">
              <w:rPr>
                <w:color w:val="000000" w:themeColor="text1"/>
                <w:sz w:val="19"/>
                <w:szCs w:val="19"/>
              </w:rPr>
              <w:t>Labor</w:t>
            </w:r>
            <w:r w:rsidR="00FD20CC" w:rsidRPr="00D077F9">
              <w:rPr>
                <w:color w:val="000000" w:themeColor="text1"/>
                <w:sz w:val="19"/>
                <w:szCs w:val="19"/>
              </w:rPr>
              <w:t xml:space="preserve"> Practices, Worker Relations &amp; Rights</w:t>
            </w:r>
          </w:p>
        </w:tc>
        <w:tc>
          <w:tcPr>
            <w:tcW w:w="1053" w:type="pct"/>
            <w:tcBorders>
              <w:top w:val="nil"/>
              <w:left w:val="nil"/>
              <w:bottom w:val="single" w:sz="4" w:space="0" w:color="auto"/>
              <w:right w:val="nil"/>
            </w:tcBorders>
            <w:shd w:val="clear" w:color="auto" w:fill="auto"/>
            <w:vAlign w:val="center"/>
            <w:hideMark/>
          </w:tcPr>
          <w:p w14:paraId="0A3558C1"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Employee Turnover, Full-time vs. Part-time Benefits, Parental Leave, Training Hours, Skill &amp; Transition Programs, Performance Reviews, Governance &amp; Employee Diversity, Gender Salary Ratio, Child Labor Risk</w:t>
            </w:r>
          </w:p>
        </w:tc>
        <w:tc>
          <w:tcPr>
            <w:tcW w:w="1052" w:type="pct"/>
            <w:tcBorders>
              <w:top w:val="nil"/>
              <w:left w:val="nil"/>
              <w:bottom w:val="single" w:sz="4" w:space="0" w:color="auto"/>
              <w:right w:val="nil"/>
            </w:tcBorders>
            <w:shd w:val="clear" w:color="auto" w:fill="auto"/>
            <w:vAlign w:val="center"/>
            <w:hideMark/>
          </w:tcPr>
          <w:p w14:paraId="3B9A9CD6" w14:textId="77777777" w:rsidR="00FD20CC" w:rsidRPr="00D077F9" w:rsidRDefault="00FD20CC" w:rsidP="001C42D0">
            <w:pPr>
              <w:spacing w:before="0" w:after="0"/>
              <w:jc w:val="center"/>
              <w:rPr>
                <w:color w:val="000000" w:themeColor="text1"/>
                <w:sz w:val="19"/>
                <w:szCs w:val="19"/>
              </w:rPr>
            </w:pPr>
            <w:r w:rsidRPr="00D077F9">
              <w:rPr>
                <w:color w:val="000000" w:themeColor="text1"/>
                <w:sz w:val="19"/>
                <w:szCs w:val="19"/>
              </w:rPr>
              <w:t>Goal 5: Gender Equality, Goal 8: Decent Work and Economic Growth, Goal 1: No Poverty, Goal 4: Quality Education</w:t>
            </w:r>
          </w:p>
        </w:tc>
      </w:tr>
    </w:tbl>
    <w:p w14:paraId="15E8AD9F" w14:textId="3C3DA4D8" w:rsidR="007E777E" w:rsidRPr="00C22C47" w:rsidRDefault="007E777E" w:rsidP="007E777E">
      <w:pPr>
        <w:rPr>
          <w:color w:val="000000" w:themeColor="text1"/>
        </w:rPr>
      </w:pPr>
      <w:r w:rsidRPr="00C22C47">
        <w:rPr>
          <w:color w:val="000000" w:themeColor="text1"/>
        </w:rPr>
        <w:t xml:space="preserve">While the metrics provided in the previous section, derived from SASB and GRI sustainability standards, are comprehensive, there are concerns about their suitability for the hydrogen framework. Therefore, we conducted a literature review to identify metrics that align more closely with the specific scope of the hydrogen sustainability framework. The metrics from the literature exhibited similarities to those in the SASB and GRI standards but were better suited to the objectives (economic, environmental, social, and technical) of the hydrogen framework. As a result, we have selected a set of </w:t>
      </w:r>
      <w:r w:rsidR="00757395" w:rsidRPr="00C22C47">
        <w:rPr>
          <w:color w:val="000000" w:themeColor="text1"/>
        </w:rPr>
        <w:t xml:space="preserve">most </w:t>
      </w:r>
      <w:r w:rsidR="007F512C" w:rsidRPr="00C22C47">
        <w:rPr>
          <w:color w:val="000000" w:themeColor="text1"/>
        </w:rPr>
        <w:t>relevant</w:t>
      </w:r>
      <w:r w:rsidRPr="00C22C47">
        <w:rPr>
          <w:color w:val="000000" w:themeColor="text1"/>
        </w:rPr>
        <w:t xml:space="preserve"> metrics for each of these objectives, which can be found in </w:t>
      </w:r>
      <w:r w:rsidR="00757395" w:rsidRPr="00C22C47">
        <w:rPr>
          <w:color w:val="000000" w:themeColor="text1"/>
        </w:rPr>
        <w:t>Figure XXX</w:t>
      </w:r>
      <w:r w:rsidRPr="00C22C47">
        <w:rPr>
          <w:color w:val="000000" w:themeColor="text1"/>
        </w:rPr>
        <w:t>.</w:t>
      </w:r>
      <w:r w:rsidR="00757395" w:rsidRPr="00C22C47">
        <w:rPr>
          <w:color w:val="000000" w:themeColor="text1"/>
        </w:rPr>
        <w:t xml:space="preserve"> Each of the metrics under the respective objectives have sub metrics that can be calculated as per the guidance available in the Appendix of this document. </w:t>
      </w:r>
    </w:p>
    <w:p w14:paraId="5C051841" w14:textId="77777777" w:rsidR="00757395" w:rsidRPr="00C22C47" w:rsidRDefault="00757395" w:rsidP="00757395">
      <w:pPr>
        <w:keepNext/>
        <w:rPr>
          <w:color w:val="000000" w:themeColor="text1"/>
        </w:rPr>
      </w:pPr>
      <w:r w:rsidRPr="00C22C47">
        <w:rPr>
          <w:noProof/>
          <w:color w:val="000000" w:themeColor="text1"/>
        </w:rPr>
        <w:drawing>
          <wp:inline distT="0" distB="0" distL="0" distR="0" wp14:anchorId="6E708511" wp14:editId="552FE72C">
            <wp:extent cx="5943600" cy="3142272"/>
            <wp:effectExtent l="0" t="0" r="0" b="1270"/>
            <wp:docPr id="967439149" name="Picture 96743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39149" name=""/>
                    <pic:cNvPicPr/>
                  </pic:nvPicPr>
                  <pic:blipFill rotWithShape="1">
                    <a:blip r:embed="rId23">
                      <a:extLst>
                        <a:ext uri="{96DAC541-7B7A-43D3-8B79-37D633B846F1}">
                          <asvg:svgBlip xmlns:asvg="http://schemas.microsoft.com/office/drawing/2016/SVG/main" r:embed="rId24"/>
                        </a:ext>
                      </a:extLst>
                    </a:blip>
                    <a:srcRect t="2357" r="6154"/>
                    <a:stretch/>
                  </pic:blipFill>
                  <pic:spPr bwMode="auto">
                    <a:xfrm>
                      <a:off x="0" y="0"/>
                      <a:ext cx="5943600" cy="3142272"/>
                    </a:xfrm>
                    <a:prstGeom prst="rect">
                      <a:avLst/>
                    </a:prstGeom>
                    <a:ln>
                      <a:noFill/>
                    </a:ln>
                    <a:extLst>
                      <a:ext uri="{53640926-AAD7-44D8-BBD7-CCE9431645EC}">
                        <a14:shadowObscured xmlns:a14="http://schemas.microsoft.com/office/drawing/2010/main"/>
                      </a:ext>
                    </a:extLst>
                  </pic:spPr>
                </pic:pic>
              </a:graphicData>
            </a:graphic>
          </wp:inline>
        </w:drawing>
      </w:r>
    </w:p>
    <w:p w14:paraId="69D9B9E2" w14:textId="79D104AF" w:rsidR="00757395" w:rsidRPr="00C22C47" w:rsidRDefault="00757395" w:rsidP="009A7FB1">
      <w:pPr>
        <w:pStyle w:val="Subtitle"/>
        <w:rPr>
          <w:color w:val="000000" w:themeColor="text1"/>
        </w:rPr>
      </w:pPr>
      <w:r w:rsidRPr="00C22C47">
        <w:rPr>
          <w:color w:val="000000" w:themeColor="text1"/>
        </w:rPr>
        <w:t xml:space="preserve">Figure </w:t>
      </w:r>
      <w:r w:rsidRPr="00C22C47">
        <w:rPr>
          <w:color w:val="000000" w:themeColor="text1"/>
        </w:rPr>
        <w:fldChar w:fldCharType="begin"/>
      </w:r>
      <w:r w:rsidRPr="00C22C47">
        <w:rPr>
          <w:color w:val="000000" w:themeColor="text1"/>
        </w:rPr>
        <w:instrText xml:space="preserve"> SEQ Figure \* ARABIC </w:instrText>
      </w:r>
      <w:r w:rsidRPr="00C22C47">
        <w:rPr>
          <w:color w:val="000000" w:themeColor="text1"/>
        </w:rPr>
        <w:fldChar w:fldCharType="separate"/>
      </w:r>
      <w:r w:rsidR="00750C9C">
        <w:rPr>
          <w:noProof/>
          <w:color w:val="000000" w:themeColor="text1"/>
        </w:rPr>
        <w:t>7</w:t>
      </w:r>
      <w:r w:rsidRPr="00C22C47">
        <w:rPr>
          <w:color w:val="000000" w:themeColor="text1"/>
        </w:rPr>
        <w:fldChar w:fldCharType="end"/>
      </w:r>
      <w:r w:rsidRPr="00C22C47">
        <w:rPr>
          <w:color w:val="000000" w:themeColor="text1"/>
        </w:rPr>
        <w:t xml:space="preserve">. </w:t>
      </w:r>
      <w:r w:rsidRPr="00C22C47">
        <w:rPr>
          <w:b w:val="0"/>
          <w:bCs w:val="0"/>
          <w:color w:val="000000" w:themeColor="text1"/>
        </w:rPr>
        <w:t>Metrics under the broad categories of economic, environmental, social, and technical.</w:t>
      </w:r>
      <w:r w:rsidRPr="00C22C47">
        <w:rPr>
          <w:color w:val="000000" w:themeColor="text1"/>
        </w:rPr>
        <w:t xml:space="preserve"> </w:t>
      </w:r>
    </w:p>
    <w:p w14:paraId="0E0B3478" w14:textId="312148E4" w:rsidR="00270A2B" w:rsidRPr="00C22C47" w:rsidRDefault="00270A2B" w:rsidP="00F80D1B">
      <w:pPr>
        <w:pStyle w:val="Heading2"/>
      </w:pPr>
      <w:bookmarkStart w:id="27" w:name="_Toc146147245"/>
      <w:bookmarkStart w:id="28" w:name="_Toc146147246"/>
      <w:bookmarkEnd w:id="27"/>
      <w:r w:rsidRPr="00C22C47">
        <w:t xml:space="preserve">Proposed Sustainability Metrics </w:t>
      </w:r>
      <w:commentRangeStart w:id="29"/>
      <w:r w:rsidRPr="00C22C47">
        <w:t>and Methods</w:t>
      </w:r>
      <w:r w:rsidR="00CB5E9A" w:rsidRPr="00C22C47">
        <w:t xml:space="preserve"> for Hydrogen Framework</w:t>
      </w:r>
      <w:commentRangeEnd w:id="29"/>
      <w:r w:rsidR="004D05A5">
        <w:rPr>
          <w:rStyle w:val="CommentReference"/>
          <w:rFonts w:eastAsiaTheme="minorHAnsi" w:cstheme="minorBidi"/>
          <w:b w:val="0"/>
          <w:bCs w:val="0"/>
          <w:color w:val="auto"/>
        </w:rPr>
        <w:commentReference w:id="29"/>
      </w:r>
      <w:bookmarkEnd w:id="28"/>
    </w:p>
    <w:p w14:paraId="3A312ECC" w14:textId="77777777" w:rsidR="00C77BB0" w:rsidRPr="00C22C47" w:rsidRDefault="00C77BB0" w:rsidP="00C77BB0">
      <w:pPr>
        <w:rPr>
          <w:color w:val="000000" w:themeColor="text1"/>
        </w:rPr>
      </w:pPr>
      <w:r w:rsidRPr="00C22C47">
        <w:rPr>
          <w:color w:val="000000" w:themeColor="text1"/>
        </w:rPr>
        <w:t xml:space="preserve">In this section a number of metrics are proposed as key metrics to be considered for hydrogen supply chain projects. </w:t>
      </w:r>
    </w:p>
    <w:p w14:paraId="188528BC" w14:textId="516BEC04" w:rsidR="00163275" w:rsidRPr="00C22C47" w:rsidRDefault="005E5F66" w:rsidP="00D85954">
      <w:pPr>
        <w:rPr>
          <w:color w:val="000000" w:themeColor="text1"/>
        </w:rPr>
      </w:pPr>
      <w:r w:rsidRPr="00C22C47">
        <w:rPr>
          <w:color w:val="000000" w:themeColor="text1"/>
        </w:rPr>
        <w:t>In the table below</w:t>
      </w:r>
      <w:r w:rsidR="00C77BB0" w:rsidRPr="00C22C47">
        <w:rPr>
          <w:color w:val="000000" w:themeColor="text1"/>
        </w:rPr>
        <w:t xml:space="preserve"> we outline some proposed metrics</w:t>
      </w:r>
      <w:r w:rsidR="003A0928" w:rsidRPr="00C22C47">
        <w:rPr>
          <w:color w:val="000000" w:themeColor="text1"/>
        </w:rPr>
        <w:t xml:space="preserve"> and sub-metrics</w:t>
      </w:r>
      <w:r w:rsidR="00C77BB0" w:rsidRPr="00C22C47">
        <w:rPr>
          <w:color w:val="000000" w:themeColor="text1"/>
        </w:rPr>
        <w:t xml:space="preserve"> to </w:t>
      </w:r>
      <w:r w:rsidR="003A0928" w:rsidRPr="00C22C47">
        <w:rPr>
          <w:color w:val="000000" w:themeColor="text1"/>
        </w:rPr>
        <w:t>be considered in the evaluation of the sustainability of</w:t>
      </w:r>
      <w:r w:rsidR="00C77BB0" w:rsidRPr="00C22C47">
        <w:rPr>
          <w:color w:val="000000" w:themeColor="text1"/>
        </w:rPr>
        <w:t xml:space="preserve"> a hydrogen project</w:t>
      </w:r>
      <w:r w:rsidR="003A0928" w:rsidRPr="00C22C47">
        <w:rPr>
          <w:color w:val="000000" w:themeColor="text1"/>
        </w:rPr>
        <w:t>. They are categorized by the four key “objectives</w:t>
      </w:r>
      <w:r w:rsidRPr="00C22C47">
        <w:rPr>
          <w:color w:val="000000" w:themeColor="text1"/>
        </w:rPr>
        <w:t>” – social, economic, technical, and environmental.</w:t>
      </w:r>
      <w:r w:rsidR="00C77BB0" w:rsidRPr="00C22C47">
        <w:rPr>
          <w:color w:val="000000" w:themeColor="text1"/>
        </w:rPr>
        <w:t xml:space="preserve"> </w:t>
      </w:r>
      <w:r w:rsidR="00CF7C4A" w:rsidRPr="00C22C47">
        <w:rPr>
          <w:color w:val="000000" w:themeColor="text1"/>
        </w:rPr>
        <w:t>We have also referenced what SDG each sub-metric addresses as well as whether the sub-metric was derived from a literature resource (“LR”) or a sustainability standard (“SS”) from frameworks like SASB or GRI.</w:t>
      </w:r>
    </w:p>
    <w:p w14:paraId="0BF09828" w14:textId="08B38A29" w:rsidR="00027416" w:rsidRPr="00C22C47" w:rsidRDefault="00027416" w:rsidP="00027416">
      <w:pPr>
        <w:pStyle w:val="Subtitle"/>
        <w:rPr>
          <w:i/>
          <w:iCs/>
          <w:color w:val="000000" w:themeColor="text1"/>
        </w:rPr>
      </w:pPr>
      <w:r w:rsidRPr="00C22C47">
        <w:rPr>
          <w:color w:val="000000" w:themeColor="text1"/>
        </w:rPr>
        <w:t xml:space="preserve">Table </w:t>
      </w:r>
      <w:r w:rsidRPr="00C22C47">
        <w:rPr>
          <w:color w:val="000000" w:themeColor="text1"/>
        </w:rPr>
        <w:fldChar w:fldCharType="begin"/>
      </w:r>
      <w:r w:rsidRPr="00C22C47">
        <w:rPr>
          <w:color w:val="000000" w:themeColor="text1"/>
        </w:rPr>
        <w:instrText xml:space="preserve"> SEQ Table \* ARABIC </w:instrText>
      </w:r>
      <w:r w:rsidRPr="00C22C47">
        <w:rPr>
          <w:color w:val="000000" w:themeColor="text1"/>
        </w:rPr>
        <w:fldChar w:fldCharType="separate"/>
      </w:r>
      <w:r>
        <w:rPr>
          <w:noProof/>
          <w:color w:val="000000" w:themeColor="text1"/>
        </w:rPr>
        <w:t>7</w:t>
      </w:r>
      <w:r w:rsidRPr="00C22C47">
        <w:rPr>
          <w:noProof/>
          <w:color w:val="000000" w:themeColor="text1"/>
        </w:rPr>
        <w:fldChar w:fldCharType="end"/>
      </w:r>
      <w:r w:rsidRPr="00C22C47">
        <w:rPr>
          <w:color w:val="000000" w:themeColor="text1"/>
        </w:rPr>
        <w:t>. SASB, GRI and SDG overlapping metrics</w:t>
      </w:r>
      <w:r>
        <w:rPr>
          <w:color w:val="000000" w:themeColor="text1"/>
        </w:rPr>
        <w:t xml:space="preserve"> with available metrics in literature for energy and hydrogen</w:t>
      </w:r>
      <w:r w:rsidR="004131E7">
        <w:rPr>
          <w:color w:val="000000" w:themeColor="text1"/>
        </w:rPr>
        <w:t xml:space="preserve"> sustainability framework</w:t>
      </w:r>
      <w:r w:rsidRPr="00C22C47">
        <w:rPr>
          <w:color w:val="000000" w:themeColor="text1"/>
        </w:rPr>
        <w:t xml:space="preserve"> divided into major and subcategories under the broader </w:t>
      </w:r>
      <w:r w:rsidR="004131E7">
        <w:rPr>
          <w:color w:val="000000" w:themeColor="text1"/>
        </w:rPr>
        <w:t>economic</w:t>
      </w:r>
      <w:r w:rsidR="004131E7" w:rsidRPr="00C22C47">
        <w:rPr>
          <w:color w:val="000000" w:themeColor="text1"/>
        </w:rPr>
        <w:t xml:space="preserve"> </w:t>
      </w:r>
      <w:r w:rsidRPr="00C22C47">
        <w:rPr>
          <w:color w:val="000000" w:themeColor="text1"/>
        </w:rPr>
        <w:t xml:space="preserve">aspect. </w:t>
      </w:r>
    </w:p>
    <w:tbl>
      <w:tblPr>
        <w:tblW w:w="5000" w:type="pct"/>
        <w:jc w:val="center"/>
        <w:tblLook w:val="04A0" w:firstRow="1" w:lastRow="0" w:firstColumn="1" w:lastColumn="0" w:noHBand="0" w:noVBand="1"/>
      </w:tblPr>
      <w:tblGrid>
        <w:gridCol w:w="1130"/>
        <w:gridCol w:w="1275"/>
        <w:gridCol w:w="5068"/>
        <w:gridCol w:w="1067"/>
        <w:gridCol w:w="820"/>
      </w:tblGrid>
      <w:tr w:rsidR="00C22C47" w:rsidRPr="00C22C47" w14:paraId="15FE6FF1" w14:textId="77777777" w:rsidTr="00502C9B">
        <w:trPr>
          <w:cantSplit/>
          <w:trHeight w:val="20"/>
          <w:tblHeader/>
          <w:jc w:val="center"/>
        </w:trPr>
        <w:tc>
          <w:tcPr>
            <w:tcW w:w="604" w:type="pct"/>
            <w:tcBorders>
              <w:top w:val="single" w:sz="4" w:space="0" w:color="auto"/>
              <w:bottom w:val="single" w:sz="4" w:space="0" w:color="auto"/>
            </w:tcBorders>
            <w:shd w:val="clear" w:color="auto" w:fill="auto"/>
            <w:noWrap/>
            <w:vAlign w:val="center"/>
            <w:hideMark/>
          </w:tcPr>
          <w:p w14:paraId="2597A98B" w14:textId="77777777" w:rsidR="00D92E1F" w:rsidRPr="00C22C47" w:rsidRDefault="00D92E1F" w:rsidP="00A245BB">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Objective</w:t>
            </w:r>
          </w:p>
        </w:tc>
        <w:tc>
          <w:tcPr>
            <w:tcW w:w="681" w:type="pct"/>
            <w:tcBorders>
              <w:top w:val="single" w:sz="4" w:space="0" w:color="auto"/>
              <w:bottom w:val="single" w:sz="4" w:space="0" w:color="auto"/>
            </w:tcBorders>
            <w:shd w:val="clear" w:color="auto" w:fill="auto"/>
            <w:vAlign w:val="center"/>
            <w:hideMark/>
          </w:tcPr>
          <w:p w14:paraId="464FFFA1" w14:textId="77777777" w:rsidR="00D92E1F" w:rsidRPr="00C22C47" w:rsidRDefault="00D92E1F" w:rsidP="00A245BB">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Metric</w:t>
            </w:r>
          </w:p>
        </w:tc>
        <w:tc>
          <w:tcPr>
            <w:tcW w:w="2707" w:type="pct"/>
            <w:tcBorders>
              <w:top w:val="single" w:sz="4" w:space="0" w:color="auto"/>
              <w:bottom w:val="single" w:sz="4" w:space="0" w:color="auto"/>
            </w:tcBorders>
            <w:shd w:val="clear" w:color="auto" w:fill="auto"/>
            <w:vAlign w:val="center"/>
            <w:hideMark/>
          </w:tcPr>
          <w:p w14:paraId="060E9DEE" w14:textId="77777777" w:rsidR="00D92E1F" w:rsidRPr="00C22C47" w:rsidRDefault="00D92E1F" w:rsidP="00A245BB">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Sub-Metric</w:t>
            </w:r>
          </w:p>
        </w:tc>
        <w:tc>
          <w:tcPr>
            <w:tcW w:w="570" w:type="pct"/>
            <w:tcBorders>
              <w:top w:val="single" w:sz="4" w:space="0" w:color="auto"/>
              <w:bottom w:val="single" w:sz="4" w:space="0" w:color="auto"/>
            </w:tcBorders>
            <w:shd w:val="clear" w:color="auto" w:fill="auto"/>
            <w:vAlign w:val="center"/>
            <w:hideMark/>
          </w:tcPr>
          <w:p w14:paraId="79CD7026" w14:textId="027E9783" w:rsidR="00D92E1F" w:rsidRPr="00C22C47" w:rsidRDefault="00D92E1F" w:rsidP="00A245BB">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 xml:space="preserve">SDG </w:t>
            </w:r>
            <w:r w:rsidR="00A245BB" w:rsidRPr="00C22C47">
              <w:rPr>
                <w:rFonts w:cstheme="minorHAnsi"/>
                <w:b/>
                <w:bCs/>
                <w:color w:val="000000" w:themeColor="text1"/>
                <w:sz w:val="19"/>
                <w:szCs w:val="19"/>
              </w:rPr>
              <w:t xml:space="preserve">Goal </w:t>
            </w:r>
          </w:p>
        </w:tc>
        <w:tc>
          <w:tcPr>
            <w:tcW w:w="438" w:type="pct"/>
            <w:tcBorders>
              <w:top w:val="single" w:sz="4" w:space="0" w:color="auto"/>
              <w:bottom w:val="single" w:sz="4" w:space="0" w:color="auto"/>
            </w:tcBorders>
            <w:shd w:val="clear" w:color="auto" w:fill="auto"/>
            <w:vAlign w:val="center"/>
            <w:hideMark/>
          </w:tcPr>
          <w:p w14:paraId="595466F3" w14:textId="77777777" w:rsidR="00D92E1F" w:rsidRPr="00C22C47" w:rsidRDefault="00D92E1F" w:rsidP="00A245BB">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Source</w:t>
            </w:r>
          </w:p>
        </w:tc>
      </w:tr>
      <w:tr w:rsidR="00C22C47" w:rsidRPr="00C22C47" w14:paraId="603A2AA6" w14:textId="77777777" w:rsidTr="00502C9B">
        <w:trPr>
          <w:cantSplit/>
          <w:trHeight w:val="20"/>
          <w:jc w:val="center"/>
        </w:trPr>
        <w:tc>
          <w:tcPr>
            <w:tcW w:w="604" w:type="pct"/>
            <w:vMerge w:val="restart"/>
            <w:tcBorders>
              <w:top w:val="single" w:sz="4" w:space="0" w:color="auto"/>
            </w:tcBorders>
            <w:shd w:val="clear" w:color="auto" w:fill="auto"/>
            <w:textDirection w:val="btLr"/>
            <w:vAlign w:val="center"/>
            <w:hideMark/>
          </w:tcPr>
          <w:p w14:paraId="5D192719" w14:textId="17081606"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Economic</w:t>
            </w:r>
          </w:p>
        </w:tc>
        <w:tc>
          <w:tcPr>
            <w:tcW w:w="681" w:type="pct"/>
            <w:vMerge w:val="restart"/>
            <w:tcBorders>
              <w:top w:val="single" w:sz="4" w:space="0" w:color="auto"/>
              <w:bottom w:val="single" w:sz="4" w:space="0" w:color="auto"/>
            </w:tcBorders>
            <w:shd w:val="clear" w:color="auto" w:fill="auto"/>
            <w:vAlign w:val="center"/>
            <w:hideMark/>
          </w:tcPr>
          <w:p w14:paraId="28FDCCEA" w14:textId="7139D654" w:rsidR="00D92E1F" w:rsidRPr="00C22C47" w:rsidRDefault="0076009A" w:rsidP="00A245BB">
            <w:pPr>
              <w:spacing w:before="0" w:after="0"/>
              <w:jc w:val="center"/>
              <w:rPr>
                <w:rFonts w:cstheme="minorHAnsi"/>
                <w:color w:val="000000" w:themeColor="text1"/>
                <w:sz w:val="19"/>
                <w:szCs w:val="19"/>
              </w:rPr>
            </w:pPr>
            <w:hyperlink w:anchor="_Financial_performance" w:history="1">
              <w:r w:rsidR="00D92E1F" w:rsidRPr="002621BB">
                <w:rPr>
                  <w:rStyle w:val="Hyperlink"/>
                  <w:rFonts w:cstheme="minorHAnsi"/>
                  <w:sz w:val="19"/>
                  <w:szCs w:val="19"/>
                </w:rPr>
                <w:t>Financial Performance</w:t>
              </w:r>
            </w:hyperlink>
          </w:p>
        </w:tc>
        <w:tc>
          <w:tcPr>
            <w:tcW w:w="2707" w:type="pct"/>
            <w:tcBorders>
              <w:top w:val="single" w:sz="4" w:space="0" w:color="auto"/>
            </w:tcBorders>
            <w:shd w:val="clear" w:color="auto" w:fill="auto"/>
            <w:vAlign w:val="center"/>
            <w:hideMark/>
          </w:tcPr>
          <w:p w14:paraId="2BAAF6E4" w14:textId="7B60FCFD"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Investment Cost</w:t>
            </w:r>
            <w:r w:rsidR="00276E40" w:rsidRPr="00C22C47">
              <w:rPr>
                <w:rFonts w:cstheme="minorHAnsi"/>
                <w:color w:val="000000" w:themeColor="text1"/>
                <w:sz w:val="19"/>
                <w:szCs w:val="19"/>
              </w:rPr>
              <w:t xml:space="preserve"> </w:t>
            </w:r>
          </w:p>
        </w:tc>
        <w:tc>
          <w:tcPr>
            <w:tcW w:w="570" w:type="pct"/>
            <w:tcBorders>
              <w:top w:val="single" w:sz="4" w:space="0" w:color="auto"/>
            </w:tcBorders>
            <w:shd w:val="clear" w:color="auto" w:fill="auto"/>
            <w:vAlign w:val="center"/>
            <w:hideMark/>
          </w:tcPr>
          <w:p w14:paraId="58CE400D"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tcBorders>
              <w:top w:val="single" w:sz="4" w:space="0" w:color="auto"/>
            </w:tcBorders>
            <w:shd w:val="clear" w:color="auto" w:fill="auto"/>
            <w:vAlign w:val="center"/>
            <w:hideMark/>
          </w:tcPr>
          <w:p w14:paraId="7B7C078A"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3E49A65A" w14:textId="77777777" w:rsidTr="00502C9B">
        <w:trPr>
          <w:cantSplit/>
          <w:trHeight w:val="20"/>
          <w:jc w:val="center"/>
        </w:trPr>
        <w:tc>
          <w:tcPr>
            <w:tcW w:w="604" w:type="pct"/>
            <w:vMerge/>
            <w:shd w:val="clear" w:color="auto" w:fill="auto"/>
            <w:vAlign w:val="center"/>
            <w:hideMark/>
          </w:tcPr>
          <w:p w14:paraId="32830357"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6723DCB2"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65D68C6D" w14:textId="31934F96"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O&amp;M Cost</w:t>
            </w:r>
            <w:r w:rsidR="00EF2911" w:rsidRPr="00C22C47">
              <w:rPr>
                <w:rFonts w:cstheme="minorHAnsi"/>
                <w:color w:val="000000" w:themeColor="text1"/>
                <w:sz w:val="19"/>
                <w:szCs w:val="19"/>
              </w:rPr>
              <w:t xml:space="preserve"> </w:t>
            </w:r>
          </w:p>
        </w:tc>
        <w:tc>
          <w:tcPr>
            <w:tcW w:w="570" w:type="pct"/>
            <w:shd w:val="clear" w:color="auto" w:fill="auto"/>
            <w:vAlign w:val="center"/>
            <w:hideMark/>
          </w:tcPr>
          <w:p w14:paraId="72D623C9"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shd w:val="clear" w:color="auto" w:fill="auto"/>
            <w:vAlign w:val="center"/>
            <w:hideMark/>
          </w:tcPr>
          <w:p w14:paraId="1C27CF55"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3342FDC7" w14:textId="77777777" w:rsidTr="00502C9B">
        <w:trPr>
          <w:cantSplit/>
          <w:trHeight w:val="20"/>
          <w:jc w:val="center"/>
        </w:trPr>
        <w:tc>
          <w:tcPr>
            <w:tcW w:w="604" w:type="pct"/>
            <w:vMerge/>
            <w:shd w:val="clear" w:color="auto" w:fill="auto"/>
            <w:vAlign w:val="center"/>
            <w:hideMark/>
          </w:tcPr>
          <w:p w14:paraId="2A7FA68F"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7E2589F2"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012A0C7E" w14:textId="107347B9"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Payback Period</w:t>
            </w:r>
            <w:r w:rsidR="002C2FA3" w:rsidRPr="00C22C47">
              <w:rPr>
                <w:rFonts w:cstheme="minorHAnsi"/>
                <w:color w:val="000000" w:themeColor="text1"/>
                <w:sz w:val="19"/>
                <w:szCs w:val="19"/>
              </w:rPr>
              <w:t xml:space="preserve"> </w:t>
            </w:r>
          </w:p>
        </w:tc>
        <w:tc>
          <w:tcPr>
            <w:tcW w:w="570" w:type="pct"/>
            <w:shd w:val="clear" w:color="auto" w:fill="auto"/>
            <w:vAlign w:val="center"/>
            <w:hideMark/>
          </w:tcPr>
          <w:p w14:paraId="452DEFC0"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shd w:val="clear" w:color="auto" w:fill="auto"/>
            <w:vAlign w:val="center"/>
            <w:hideMark/>
          </w:tcPr>
          <w:p w14:paraId="0E537883"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7AE2616C" w14:textId="77777777" w:rsidTr="00502C9B">
        <w:trPr>
          <w:cantSplit/>
          <w:trHeight w:val="20"/>
          <w:jc w:val="center"/>
        </w:trPr>
        <w:tc>
          <w:tcPr>
            <w:tcW w:w="604" w:type="pct"/>
            <w:vMerge/>
            <w:shd w:val="clear" w:color="auto" w:fill="auto"/>
            <w:vAlign w:val="center"/>
            <w:hideMark/>
          </w:tcPr>
          <w:p w14:paraId="2C0E7A02"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426B79D7"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302E0226" w14:textId="17C234E1"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Net Present Value</w:t>
            </w:r>
            <w:r w:rsidR="002C2FA3" w:rsidRPr="00C22C47">
              <w:rPr>
                <w:rFonts w:cstheme="minorHAnsi"/>
                <w:color w:val="000000" w:themeColor="text1"/>
                <w:sz w:val="19"/>
                <w:szCs w:val="19"/>
              </w:rPr>
              <w:t xml:space="preserve"> </w:t>
            </w:r>
          </w:p>
        </w:tc>
        <w:tc>
          <w:tcPr>
            <w:tcW w:w="570" w:type="pct"/>
            <w:shd w:val="clear" w:color="auto" w:fill="auto"/>
            <w:vAlign w:val="center"/>
            <w:hideMark/>
          </w:tcPr>
          <w:p w14:paraId="70154BDC"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shd w:val="clear" w:color="auto" w:fill="auto"/>
            <w:vAlign w:val="center"/>
            <w:hideMark/>
          </w:tcPr>
          <w:p w14:paraId="7C0C31E0"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3FC624FE" w14:textId="77777777" w:rsidTr="00502C9B">
        <w:trPr>
          <w:cantSplit/>
          <w:trHeight w:val="20"/>
          <w:jc w:val="center"/>
        </w:trPr>
        <w:tc>
          <w:tcPr>
            <w:tcW w:w="604" w:type="pct"/>
            <w:vMerge/>
            <w:shd w:val="clear" w:color="auto" w:fill="auto"/>
            <w:vAlign w:val="center"/>
            <w:hideMark/>
          </w:tcPr>
          <w:p w14:paraId="59C06099"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4446AADE" w14:textId="77777777" w:rsidR="00D92E1F" w:rsidRPr="00C22C47" w:rsidRDefault="00D92E1F" w:rsidP="00A245BB">
            <w:pPr>
              <w:spacing w:before="0" w:after="0"/>
              <w:jc w:val="center"/>
              <w:rPr>
                <w:rFonts w:cstheme="minorHAnsi"/>
                <w:color w:val="000000" w:themeColor="text1"/>
                <w:sz w:val="19"/>
                <w:szCs w:val="19"/>
              </w:rPr>
            </w:pPr>
          </w:p>
        </w:tc>
        <w:tc>
          <w:tcPr>
            <w:tcW w:w="2707" w:type="pct"/>
            <w:tcBorders>
              <w:bottom w:val="single" w:sz="4" w:space="0" w:color="auto"/>
            </w:tcBorders>
            <w:shd w:val="clear" w:color="auto" w:fill="auto"/>
            <w:vAlign w:val="center"/>
            <w:hideMark/>
          </w:tcPr>
          <w:p w14:paraId="6615E5F5" w14:textId="13895D05"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Return on Investment</w:t>
            </w:r>
            <w:r w:rsidR="00EC1F1E" w:rsidRPr="00C22C47">
              <w:rPr>
                <w:rFonts w:cstheme="minorHAnsi"/>
                <w:color w:val="000000" w:themeColor="text1"/>
                <w:sz w:val="19"/>
                <w:szCs w:val="19"/>
              </w:rPr>
              <w:t xml:space="preserve"> </w:t>
            </w:r>
          </w:p>
        </w:tc>
        <w:tc>
          <w:tcPr>
            <w:tcW w:w="570" w:type="pct"/>
            <w:tcBorders>
              <w:bottom w:val="single" w:sz="4" w:space="0" w:color="auto"/>
            </w:tcBorders>
            <w:shd w:val="clear" w:color="auto" w:fill="auto"/>
            <w:vAlign w:val="center"/>
            <w:hideMark/>
          </w:tcPr>
          <w:p w14:paraId="7123C3A3"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tcBorders>
              <w:bottom w:val="single" w:sz="4" w:space="0" w:color="auto"/>
            </w:tcBorders>
            <w:shd w:val="clear" w:color="auto" w:fill="auto"/>
            <w:vAlign w:val="center"/>
            <w:hideMark/>
          </w:tcPr>
          <w:p w14:paraId="04154A0A"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C0CF8BA" w14:textId="77777777" w:rsidTr="00502C9B">
        <w:trPr>
          <w:cantSplit/>
          <w:trHeight w:val="20"/>
          <w:jc w:val="center"/>
        </w:trPr>
        <w:tc>
          <w:tcPr>
            <w:tcW w:w="604" w:type="pct"/>
            <w:vMerge/>
            <w:shd w:val="clear" w:color="auto" w:fill="auto"/>
            <w:vAlign w:val="center"/>
            <w:hideMark/>
          </w:tcPr>
          <w:p w14:paraId="2F86096E"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val="restart"/>
            <w:tcBorders>
              <w:top w:val="single" w:sz="4" w:space="0" w:color="auto"/>
              <w:bottom w:val="single" w:sz="4" w:space="0" w:color="auto"/>
            </w:tcBorders>
            <w:shd w:val="clear" w:color="auto" w:fill="auto"/>
            <w:vAlign w:val="center"/>
            <w:hideMark/>
          </w:tcPr>
          <w:p w14:paraId="44247CAE" w14:textId="7D41AFE9" w:rsidR="00D92E1F" w:rsidRPr="00C22C47" w:rsidRDefault="0076009A" w:rsidP="00A245BB">
            <w:pPr>
              <w:spacing w:before="0" w:after="0"/>
              <w:jc w:val="center"/>
              <w:rPr>
                <w:rFonts w:cstheme="minorHAnsi"/>
                <w:color w:val="000000" w:themeColor="text1"/>
                <w:sz w:val="19"/>
                <w:szCs w:val="19"/>
              </w:rPr>
            </w:pPr>
            <w:hyperlink w:anchor="_Market_&amp;_Industry" w:history="1">
              <w:r w:rsidR="00D92E1F" w:rsidRPr="002621BB">
                <w:rPr>
                  <w:rStyle w:val="Hyperlink"/>
                  <w:rFonts w:cstheme="minorHAnsi"/>
                  <w:sz w:val="19"/>
                  <w:szCs w:val="19"/>
                </w:rPr>
                <w:t>Market and Industry</w:t>
              </w:r>
            </w:hyperlink>
          </w:p>
        </w:tc>
        <w:tc>
          <w:tcPr>
            <w:tcW w:w="2707" w:type="pct"/>
            <w:tcBorders>
              <w:top w:val="single" w:sz="4" w:space="0" w:color="auto"/>
            </w:tcBorders>
            <w:shd w:val="clear" w:color="auto" w:fill="auto"/>
            <w:vAlign w:val="center"/>
            <w:hideMark/>
          </w:tcPr>
          <w:p w14:paraId="46CFF022" w14:textId="6C67E1C9"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Industry Expansion</w:t>
            </w:r>
            <w:r w:rsidR="001F20F4" w:rsidRPr="00C22C47">
              <w:rPr>
                <w:rFonts w:cstheme="minorHAnsi"/>
                <w:color w:val="000000" w:themeColor="text1"/>
                <w:sz w:val="19"/>
                <w:szCs w:val="19"/>
              </w:rPr>
              <w:t xml:space="preserve"> </w:t>
            </w:r>
          </w:p>
        </w:tc>
        <w:tc>
          <w:tcPr>
            <w:tcW w:w="570" w:type="pct"/>
            <w:tcBorders>
              <w:top w:val="single" w:sz="4" w:space="0" w:color="auto"/>
            </w:tcBorders>
            <w:shd w:val="clear" w:color="auto" w:fill="auto"/>
            <w:vAlign w:val="center"/>
            <w:hideMark/>
          </w:tcPr>
          <w:p w14:paraId="323C28C9"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38" w:type="pct"/>
            <w:tcBorders>
              <w:top w:val="single" w:sz="4" w:space="0" w:color="auto"/>
            </w:tcBorders>
            <w:shd w:val="clear" w:color="auto" w:fill="auto"/>
            <w:vAlign w:val="center"/>
            <w:hideMark/>
          </w:tcPr>
          <w:p w14:paraId="48F57817"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74AD9B72" w14:textId="77777777" w:rsidTr="00502C9B">
        <w:trPr>
          <w:cantSplit/>
          <w:trHeight w:val="20"/>
          <w:jc w:val="center"/>
        </w:trPr>
        <w:tc>
          <w:tcPr>
            <w:tcW w:w="604" w:type="pct"/>
            <w:vMerge/>
            <w:shd w:val="clear" w:color="auto" w:fill="auto"/>
            <w:vAlign w:val="center"/>
            <w:hideMark/>
          </w:tcPr>
          <w:p w14:paraId="68AEC066"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1317F82D"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19989823" w14:textId="7EB9F0B2"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Current market share</w:t>
            </w:r>
            <w:r w:rsidR="00197A92" w:rsidRPr="00C22C47">
              <w:rPr>
                <w:rFonts w:cstheme="minorHAnsi"/>
                <w:color w:val="000000" w:themeColor="text1"/>
                <w:sz w:val="19"/>
                <w:szCs w:val="19"/>
              </w:rPr>
              <w:t xml:space="preserve"> </w:t>
            </w:r>
          </w:p>
        </w:tc>
        <w:tc>
          <w:tcPr>
            <w:tcW w:w="570" w:type="pct"/>
            <w:shd w:val="clear" w:color="auto" w:fill="auto"/>
            <w:vAlign w:val="center"/>
            <w:hideMark/>
          </w:tcPr>
          <w:p w14:paraId="0E113CA0"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38" w:type="pct"/>
            <w:shd w:val="clear" w:color="auto" w:fill="auto"/>
            <w:vAlign w:val="center"/>
            <w:hideMark/>
          </w:tcPr>
          <w:p w14:paraId="464F8BA9"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52FF263E" w14:textId="77777777" w:rsidTr="00502C9B">
        <w:trPr>
          <w:cantSplit/>
          <w:trHeight w:val="20"/>
          <w:jc w:val="center"/>
        </w:trPr>
        <w:tc>
          <w:tcPr>
            <w:tcW w:w="604" w:type="pct"/>
            <w:vMerge/>
            <w:shd w:val="clear" w:color="auto" w:fill="auto"/>
            <w:vAlign w:val="center"/>
            <w:hideMark/>
          </w:tcPr>
          <w:p w14:paraId="43316870"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59806CA0"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2ED40B18"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Opportunities for private participation</w:t>
            </w:r>
          </w:p>
        </w:tc>
        <w:tc>
          <w:tcPr>
            <w:tcW w:w="570" w:type="pct"/>
            <w:shd w:val="clear" w:color="auto" w:fill="auto"/>
            <w:vAlign w:val="center"/>
            <w:hideMark/>
          </w:tcPr>
          <w:p w14:paraId="17BA70D0"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38" w:type="pct"/>
            <w:shd w:val="clear" w:color="auto" w:fill="auto"/>
            <w:vAlign w:val="center"/>
            <w:hideMark/>
          </w:tcPr>
          <w:p w14:paraId="66868DEA"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232DD62" w14:textId="77777777" w:rsidTr="00502C9B">
        <w:trPr>
          <w:cantSplit/>
          <w:trHeight w:val="20"/>
          <w:jc w:val="center"/>
        </w:trPr>
        <w:tc>
          <w:tcPr>
            <w:tcW w:w="604" w:type="pct"/>
            <w:vMerge/>
            <w:shd w:val="clear" w:color="auto" w:fill="auto"/>
            <w:vAlign w:val="center"/>
            <w:hideMark/>
          </w:tcPr>
          <w:p w14:paraId="216B095E"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225323C2" w14:textId="77777777" w:rsidR="00D92E1F" w:rsidRPr="00C22C47" w:rsidRDefault="00D92E1F" w:rsidP="00A245BB">
            <w:pPr>
              <w:spacing w:before="0" w:after="0"/>
              <w:jc w:val="center"/>
              <w:rPr>
                <w:rFonts w:cstheme="minorHAnsi"/>
                <w:color w:val="000000" w:themeColor="text1"/>
                <w:sz w:val="19"/>
                <w:szCs w:val="19"/>
              </w:rPr>
            </w:pPr>
          </w:p>
        </w:tc>
        <w:tc>
          <w:tcPr>
            <w:tcW w:w="2707" w:type="pct"/>
            <w:tcBorders>
              <w:bottom w:val="single" w:sz="4" w:space="0" w:color="auto"/>
            </w:tcBorders>
            <w:shd w:val="clear" w:color="auto" w:fill="auto"/>
            <w:vAlign w:val="center"/>
            <w:hideMark/>
          </w:tcPr>
          <w:p w14:paraId="6A8F7D53"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Degree of local ownership</w:t>
            </w:r>
          </w:p>
        </w:tc>
        <w:tc>
          <w:tcPr>
            <w:tcW w:w="570" w:type="pct"/>
            <w:tcBorders>
              <w:bottom w:val="single" w:sz="4" w:space="0" w:color="auto"/>
            </w:tcBorders>
            <w:shd w:val="clear" w:color="auto" w:fill="auto"/>
            <w:vAlign w:val="center"/>
            <w:hideMark/>
          </w:tcPr>
          <w:p w14:paraId="1DC7CDAB"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17</w:t>
            </w:r>
          </w:p>
        </w:tc>
        <w:tc>
          <w:tcPr>
            <w:tcW w:w="438" w:type="pct"/>
            <w:tcBorders>
              <w:bottom w:val="single" w:sz="4" w:space="0" w:color="auto"/>
            </w:tcBorders>
            <w:shd w:val="clear" w:color="auto" w:fill="auto"/>
            <w:vAlign w:val="center"/>
            <w:hideMark/>
          </w:tcPr>
          <w:p w14:paraId="1529DDE9"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79AA6471" w14:textId="77777777" w:rsidTr="00502C9B">
        <w:trPr>
          <w:cantSplit/>
          <w:trHeight w:val="20"/>
          <w:jc w:val="center"/>
        </w:trPr>
        <w:tc>
          <w:tcPr>
            <w:tcW w:w="604" w:type="pct"/>
            <w:vMerge/>
            <w:shd w:val="clear" w:color="auto" w:fill="auto"/>
            <w:vAlign w:val="center"/>
            <w:hideMark/>
          </w:tcPr>
          <w:p w14:paraId="7463B2BE"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val="restart"/>
            <w:tcBorders>
              <w:top w:val="single" w:sz="4" w:space="0" w:color="auto"/>
              <w:bottom w:val="single" w:sz="4" w:space="0" w:color="auto"/>
            </w:tcBorders>
            <w:shd w:val="clear" w:color="auto" w:fill="auto"/>
            <w:vAlign w:val="center"/>
            <w:hideMark/>
          </w:tcPr>
          <w:p w14:paraId="2FCD216E" w14:textId="6B3AC3C1" w:rsidR="00D92E1F" w:rsidRPr="00C22C47" w:rsidRDefault="0076009A" w:rsidP="00A245BB">
            <w:pPr>
              <w:spacing w:before="0" w:after="0"/>
              <w:jc w:val="center"/>
              <w:rPr>
                <w:rFonts w:cstheme="minorHAnsi"/>
                <w:color w:val="000000" w:themeColor="text1"/>
                <w:sz w:val="19"/>
                <w:szCs w:val="19"/>
              </w:rPr>
            </w:pPr>
            <w:hyperlink w:anchor="_Resource_Efficiency" w:history="1">
              <w:r w:rsidR="00D92E1F" w:rsidRPr="002621BB">
                <w:rPr>
                  <w:rStyle w:val="Hyperlink"/>
                  <w:rFonts w:cstheme="minorHAnsi"/>
                  <w:sz w:val="19"/>
                  <w:szCs w:val="19"/>
                </w:rPr>
                <w:t>Resource Efficiency</w:t>
              </w:r>
            </w:hyperlink>
          </w:p>
        </w:tc>
        <w:tc>
          <w:tcPr>
            <w:tcW w:w="2707" w:type="pct"/>
            <w:tcBorders>
              <w:top w:val="single" w:sz="4" w:space="0" w:color="auto"/>
            </w:tcBorders>
            <w:shd w:val="clear" w:color="auto" w:fill="auto"/>
            <w:vAlign w:val="center"/>
            <w:hideMark/>
          </w:tcPr>
          <w:p w14:paraId="6B8853D9"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Energy Efficiency</w:t>
            </w:r>
          </w:p>
        </w:tc>
        <w:tc>
          <w:tcPr>
            <w:tcW w:w="570" w:type="pct"/>
            <w:tcBorders>
              <w:top w:val="single" w:sz="4" w:space="0" w:color="auto"/>
            </w:tcBorders>
            <w:shd w:val="clear" w:color="auto" w:fill="auto"/>
            <w:vAlign w:val="center"/>
            <w:hideMark/>
          </w:tcPr>
          <w:p w14:paraId="68059255"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7,12</w:t>
            </w:r>
          </w:p>
        </w:tc>
        <w:tc>
          <w:tcPr>
            <w:tcW w:w="438" w:type="pct"/>
            <w:tcBorders>
              <w:top w:val="single" w:sz="4" w:space="0" w:color="auto"/>
            </w:tcBorders>
            <w:shd w:val="clear" w:color="auto" w:fill="auto"/>
            <w:vAlign w:val="center"/>
            <w:hideMark/>
          </w:tcPr>
          <w:p w14:paraId="38CBB34D"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5B0ACF06" w14:textId="77777777" w:rsidTr="00502C9B">
        <w:trPr>
          <w:cantSplit/>
          <w:trHeight w:val="20"/>
          <w:jc w:val="center"/>
        </w:trPr>
        <w:tc>
          <w:tcPr>
            <w:tcW w:w="604" w:type="pct"/>
            <w:vMerge/>
            <w:shd w:val="clear" w:color="auto" w:fill="auto"/>
            <w:vAlign w:val="center"/>
            <w:hideMark/>
          </w:tcPr>
          <w:p w14:paraId="6A3FC438"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2B578ECF"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590E5558"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Energy Reduction</w:t>
            </w:r>
          </w:p>
        </w:tc>
        <w:tc>
          <w:tcPr>
            <w:tcW w:w="570" w:type="pct"/>
            <w:shd w:val="clear" w:color="auto" w:fill="auto"/>
            <w:vAlign w:val="center"/>
            <w:hideMark/>
          </w:tcPr>
          <w:p w14:paraId="15ECE903"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shd w:val="clear" w:color="auto" w:fill="auto"/>
            <w:vAlign w:val="center"/>
            <w:hideMark/>
          </w:tcPr>
          <w:p w14:paraId="3CB3DBFA"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86A8D77" w14:textId="77777777" w:rsidTr="00502C9B">
        <w:trPr>
          <w:cantSplit/>
          <w:trHeight w:val="20"/>
          <w:jc w:val="center"/>
        </w:trPr>
        <w:tc>
          <w:tcPr>
            <w:tcW w:w="604" w:type="pct"/>
            <w:vMerge/>
            <w:shd w:val="clear" w:color="auto" w:fill="auto"/>
            <w:vAlign w:val="center"/>
            <w:hideMark/>
          </w:tcPr>
          <w:p w14:paraId="48B504C7"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638519D6" w14:textId="77777777" w:rsidR="00D92E1F" w:rsidRPr="00C22C47" w:rsidRDefault="00D92E1F" w:rsidP="00A245BB">
            <w:pPr>
              <w:spacing w:before="0" w:after="0"/>
              <w:jc w:val="center"/>
              <w:rPr>
                <w:rFonts w:cstheme="minorHAnsi"/>
                <w:color w:val="000000" w:themeColor="text1"/>
                <w:sz w:val="19"/>
                <w:szCs w:val="19"/>
              </w:rPr>
            </w:pPr>
          </w:p>
        </w:tc>
        <w:tc>
          <w:tcPr>
            <w:tcW w:w="2707" w:type="pct"/>
            <w:tcBorders>
              <w:bottom w:val="single" w:sz="4" w:space="0" w:color="auto"/>
            </w:tcBorders>
            <w:shd w:val="clear" w:color="auto" w:fill="auto"/>
            <w:vAlign w:val="center"/>
            <w:hideMark/>
          </w:tcPr>
          <w:p w14:paraId="043D14E4"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Raw material input</w:t>
            </w:r>
          </w:p>
        </w:tc>
        <w:tc>
          <w:tcPr>
            <w:tcW w:w="570" w:type="pct"/>
            <w:tcBorders>
              <w:bottom w:val="single" w:sz="4" w:space="0" w:color="auto"/>
            </w:tcBorders>
            <w:shd w:val="clear" w:color="auto" w:fill="auto"/>
            <w:vAlign w:val="center"/>
            <w:hideMark/>
          </w:tcPr>
          <w:p w14:paraId="365722C1"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12</w:t>
            </w:r>
          </w:p>
        </w:tc>
        <w:tc>
          <w:tcPr>
            <w:tcW w:w="438" w:type="pct"/>
            <w:tcBorders>
              <w:bottom w:val="single" w:sz="4" w:space="0" w:color="auto"/>
            </w:tcBorders>
            <w:shd w:val="clear" w:color="auto" w:fill="auto"/>
            <w:vAlign w:val="center"/>
            <w:hideMark/>
          </w:tcPr>
          <w:p w14:paraId="47DD1B3B"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2AA243C" w14:textId="77777777" w:rsidTr="00502C9B">
        <w:trPr>
          <w:cantSplit/>
          <w:trHeight w:val="20"/>
          <w:jc w:val="center"/>
        </w:trPr>
        <w:tc>
          <w:tcPr>
            <w:tcW w:w="604" w:type="pct"/>
            <w:vMerge/>
            <w:shd w:val="clear" w:color="auto" w:fill="auto"/>
            <w:vAlign w:val="center"/>
            <w:hideMark/>
          </w:tcPr>
          <w:p w14:paraId="7AC1B856"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val="restart"/>
            <w:tcBorders>
              <w:top w:val="single" w:sz="4" w:space="0" w:color="auto"/>
              <w:bottom w:val="single" w:sz="4" w:space="0" w:color="auto"/>
            </w:tcBorders>
            <w:shd w:val="clear" w:color="auto" w:fill="auto"/>
            <w:vAlign w:val="center"/>
            <w:hideMark/>
          </w:tcPr>
          <w:p w14:paraId="74C9BE97" w14:textId="51EB3D46" w:rsidR="00D92E1F" w:rsidRPr="00C22C47" w:rsidRDefault="0076009A" w:rsidP="00A245BB">
            <w:pPr>
              <w:spacing w:before="0" w:after="0"/>
              <w:jc w:val="center"/>
              <w:rPr>
                <w:rFonts w:cstheme="minorHAnsi"/>
                <w:color w:val="000000" w:themeColor="text1"/>
                <w:sz w:val="19"/>
                <w:szCs w:val="19"/>
              </w:rPr>
            </w:pPr>
            <w:hyperlink w:anchor="_Risk_and_Security" w:history="1">
              <w:r w:rsidR="00D92E1F" w:rsidRPr="002621BB">
                <w:rPr>
                  <w:rStyle w:val="Hyperlink"/>
                  <w:rFonts w:cstheme="minorHAnsi"/>
                  <w:sz w:val="19"/>
                  <w:szCs w:val="19"/>
                </w:rPr>
                <w:t>Risk and Security</w:t>
              </w:r>
            </w:hyperlink>
          </w:p>
        </w:tc>
        <w:tc>
          <w:tcPr>
            <w:tcW w:w="2707" w:type="pct"/>
            <w:tcBorders>
              <w:top w:val="single" w:sz="4" w:space="0" w:color="auto"/>
            </w:tcBorders>
            <w:shd w:val="clear" w:color="auto" w:fill="auto"/>
            <w:vAlign w:val="center"/>
            <w:hideMark/>
          </w:tcPr>
          <w:p w14:paraId="7AA190BA"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Dependence on fossil fuels</w:t>
            </w:r>
          </w:p>
        </w:tc>
        <w:tc>
          <w:tcPr>
            <w:tcW w:w="570" w:type="pct"/>
            <w:tcBorders>
              <w:top w:val="single" w:sz="4" w:space="0" w:color="auto"/>
            </w:tcBorders>
            <w:shd w:val="clear" w:color="auto" w:fill="auto"/>
            <w:vAlign w:val="center"/>
            <w:hideMark/>
          </w:tcPr>
          <w:p w14:paraId="233A22BD"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tcBorders>
              <w:top w:val="single" w:sz="4" w:space="0" w:color="auto"/>
            </w:tcBorders>
            <w:shd w:val="clear" w:color="auto" w:fill="auto"/>
            <w:vAlign w:val="center"/>
            <w:hideMark/>
          </w:tcPr>
          <w:p w14:paraId="0853672F"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74378A4C" w14:textId="77777777" w:rsidTr="00502C9B">
        <w:trPr>
          <w:cantSplit/>
          <w:trHeight w:val="20"/>
          <w:jc w:val="center"/>
        </w:trPr>
        <w:tc>
          <w:tcPr>
            <w:tcW w:w="604" w:type="pct"/>
            <w:vMerge/>
            <w:shd w:val="clear" w:color="auto" w:fill="auto"/>
            <w:vAlign w:val="center"/>
            <w:hideMark/>
          </w:tcPr>
          <w:p w14:paraId="543CC113"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top w:val="single" w:sz="4" w:space="0" w:color="auto"/>
            </w:tcBorders>
            <w:shd w:val="clear" w:color="auto" w:fill="auto"/>
            <w:vAlign w:val="center"/>
            <w:hideMark/>
          </w:tcPr>
          <w:p w14:paraId="39C7E759"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45030BF6"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Supply and Export Security</w:t>
            </w:r>
          </w:p>
        </w:tc>
        <w:tc>
          <w:tcPr>
            <w:tcW w:w="570" w:type="pct"/>
            <w:shd w:val="clear" w:color="auto" w:fill="auto"/>
            <w:vAlign w:val="center"/>
            <w:hideMark/>
          </w:tcPr>
          <w:p w14:paraId="20EEB2E9"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38" w:type="pct"/>
            <w:shd w:val="clear" w:color="auto" w:fill="auto"/>
            <w:vAlign w:val="center"/>
            <w:hideMark/>
          </w:tcPr>
          <w:p w14:paraId="0052669F"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19FF1B80" w14:textId="77777777" w:rsidTr="00502C9B">
        <w:trPr>
          <w:cantSplit/>
          <w:trHeight w:val="20"/>
          <w:jc w:val="center"/>
        </w:trPr>
        <w:tc>
          <w:tcPr>
            <w:tcW w:w="604" w:type="pct"/>
            <w:vMerge/>
            <w:shd w:val="clear" w:color="auto" w:fill="auto"/>
            <w:vAlign w:val="center"/>
            <w:hideMark/>
          </w:tcPr>
          <w:p w14:paraId="11C169B8"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shd w:val="clear" w:color="auto" w:fill="auto"/>
            <w:vAlign w:val="center"/>
            <w:hideMark/>
          </w:tcPr>
          <w:p w14:paraId="44016D1E"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05C3F75C"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Import dependence</w:t>
            </w:r>
          </w:p>
        </w:tc>
        <w:tc>
          <w:tcPr>
            <w:tcW w:w="570" w:type="pct"/>
            <w:shd w:val="clear" w:color="auto" w:fill="auto"/>
            <w:vAlign w:val="center"/>
            <w:hideMark/>
          </w:tcPr>
          <w:p w14:paraId="49F547A2"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shd w:val="clear" w:color="auto" w:fill="auto"/>
            <w:vAlign w:val="center"/>
            <w:hideMark/>
          </w:tcPr>
          <w:p w14:paraId="61C9E911"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20E3CDE6" w14:textId="77777777" w:rsidTr="00502C9B">
        <w:trPr>
          <w:cantSplit/>
          <w:trHeight w:val="20"/>
          <w:jc w:val="center"/>
        </w:trPr>
        <w:tc>
          <w:tcPr>
            <w:tcW w:w="604" w:type="pct"/>
            <w:vMerge/>
            <w:shd w:val="clear" w:color="auto" w:fill="auto"/>
            <w:vAlign w:val="center"/>
            <w:hideMark/>
          </w:tcPr>
          <w:p w14:paraId="6ACECDAC"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shd w:val="clear" w:color="auto" w:fill="auto"/>
            <w:vAlign w:val="center"/>
            <w:hideMark/>
          </w:tcPr>
          <w:p w14:paraId="1AB526F7"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32A47F5D"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Availability of primary energy supply</w:t>
            </w:r>
          </w:p>
        </w:tc>
        <w:tc>
          <w:tcPr>
            <w:tcW w:w="570" w:type="pct"/>
            <w:shd w:val="clear" w:color="auto" w:fill="auto"/>
            <w:vAlign w:val="center"/>
            <w:hideMark/>
          </w:tcPr>
          <w:p w14:paraId="6BB6DE03"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shd w:val="clear" w:color="auto" w:fill="auto"/>
            <w:vAlign w:val="center"/>
            <w:hideMark/>
          </w:tcPr>
          <w:p w14:paraId="61700104"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13AE4AA1" w14:textId="77777777" w:rsidTr="00502C9B">
        <w:trPr>
          <w:cantSplit/>
          <w:trHeight w:val="20"/>
          <w:jc w:val="center"/>
        </w:trPr>
        <w:tc>
          <w:tcPr>
            <w:tcW w:w="604" w:type="pct"/>
            <w:vMerge/>
            <w:shd w:val="clear" w:color="auto" w:fill="auto"/>
            <w:vAlign w:val="center"/>
            <w:hideMark/>
          </w:tcPr>
          <w:p w14:paraId="5E5EA30E"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6FA23A42" w14:textId="77777777" w:rsidR="00D92E1F" w:rsidRPr="00C22C47" w:rsidRDefault="00D92E1F" w:rsidP="00A245BB">
            <w:pPr>
              <w:spacing w:before="0" w:after="0"/>
              <w:jc w:val="center"/>
              <w:rPr>
                <w:rFonts w:cstheme="minorHAnsi"/>
                <w:color w:val="000000" w:themeColor="text1"/>
                <w:sz w:val="19"/>
                <w:szCs w:val="19"/>
              </w:rPr>
            </w:pPr>
          </w:p>
        </w:tc>
        <w:tc>
          <w:tcPr>
            <w:tcW w:w="2707" w:type="pct"/>
            <w:tcBorders>
              <w:bottom w:val="single" w:sz="4" w:space="0" w:color="auto"/>
            </w:tcBorders>
            <w:shd w:val="clear" w:color="auto" w:fill="auto"/>
            <w:vAlign w:val="center"/>
            <w:hideMark/>
          </w:tcPr>
          <w:p w14:paraId="3DA1DE94"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Risk Assessment &amp; Management</w:t>
            </w:r>
          </w:p>
        </w:tc>
        <w:tc>
          <w:tcPr>
            <w:tcW w:w="570" w:type="pct"/>
            <w:tcBorders>
              <w:bottom w:val="single" w:sz="4" w:space="0" w:color="auto"/>
            </w:tcBorders>
            <w:shd w:val="clear" w:color="auto" w:fill="auto"/>
            <w:vAlign w:val="center"/>
            <w:hideMark/>
          </w:tcPr>
          <w:p w14:paraId="05E49D20"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16</w:t>
            </w:r>
          </w:p>
        </w:tc>
        <w:tc>
          <w:tcPr>
            <w:tcW w:w="438" w:type="pct"/>
            <w:tcBorders>
              <w:bottom w:val="single" w:sz="4" w:space="0" w:color="auto"/>
            </w:tcBorders>
            <w:shd w:val="clear" w:color="auto" w:fill="auto"/>
            <w:vAlign w:val="center"/>
            <w:hideMark/>
          </w:tcPr>
          <w:p w14:paraId="2E6C816F"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45643F62" w14:textId="77777777" w:rsidTr="00502C9B">
        <w:trPr>
          <w:cantSplit/>
          <w:trHeight w:val="20"/>
          <w:jc w:val="center"/>
        </w:trPr>
        <w:tc>
          <w:tcPr>
            <w:tcW w:w="604" w:type="pct"/>
            <w:vMerge/>
            <w:shd w:val="clear" w:color="auto" w:fill="auto"/>
            <w:vAlign w:val="center"/>
            <w:hideMark/>
          </w:tcPr>
          <w:p w14:paraId="2071CB05"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val="restart"/>
            <w:tcBorders>
              <w:top w:val="single" w:sz="4" w:space="0" w:color="auto"/>
              <w:bottom w:val="single" w:sz="4" w:space="0" w:color="auto"/>
            </w:tcBorders>
            <w:shd w:val="clear" w:color="auto" w:fill="auto"/>
            <w:vAlign w:val="center"/>
            <w:hideMark/>
          </w:tcPr>
          <w:p w14:paraId="48865210" w14:textId="36C000CE" w:rsidR="00D92E1F" w:rsidRPr="00C22C47" w:rsidRDefault="0076009A" w:rsidP="00A245BB">
            <w:pPr>
              <w:spacing w:before="0" w:after="0"/>
              <w:jc w:val="center"/>
              <w:rPr>
                <w:rFonts w:cstheme="minorHAnsi"/>
                <w:color w:val="000000" w:themeColor="text1"/>
                <w:sz w:val="19"/>
                <w:szCs w:val="19"/>
              </w:rPr>
            </w:pPr>
            <w:hyperlink w:anchor="_Regulatory_compliance" w:history="1">
              <w:r w:rsidR="00D92E1F" w:rsidRPr="002621BB">
                <w:rPr>
                  <w:rStyle w:val="Hyperlink"/>
                  <w:rFonts w:cstheme="minorHAnsi"/>
                  <w:sz w:val="19"/>
                  <w:szCs w:val="19"/>
                </w:rPr>
                <w:t>Regulatory Compliance</w:t>
              </w:r>
            </w:hyperlink>
          </w:p>
        </w:tc>
        <w:tc>
          <w:tcPr>
            <w:tcW w:w="2707" w:type="pct"/>
            <w:tcBorders>
              <w:top w:val="single" w:sz="4" w:space="0" w:color="auto"/>
            </w:tcBorders>
            <w:shd w:val="clear" w:color="auto" w:fill="auto"/>
            <w:vAlign w:val="center"/>
            <w:hideMark/>
          </w:tcPr>
          <w:p w14:paraId="64070215"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Legal regulation of activities</w:t>
            </w:r>
          </w:p>
        </w:tc>
        <w:tc>
          <w:tcPr>
            <w:tcW w:w="570" w:type="pct"/>
            <w:tcBorders>
              <w:top w:val="single" w:sz="4" w:space="0" w:color="auto"/>
            </w:tcBorders>
            <w:shd w:val="clear" w:color="auto" w:fill="auto"/>
            <w:vAlign w:val="center"/>
            <w:hideMark/>
          </w:tcPr>
          <w:p w14:paraId="7BE7CA66"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16</w:t>
            </w:r>
          </w:p>
        </w:tc>
        <w:tc>
          <w:tcPr>
            <w:tcW w:w="438" w:type="pct"/>
            <w:tcBorders>
              <w:top w:val="single" w:sz="4" w:space="0" w:color="auto"/>
            </w:tcBorders>
            <w:shd w:val="clear" w:color="auto" w:fill="auto"/>
            <w:vAlign w:val="center"/>
            <w:hideMark/>
          </w:tcPr>
          <w:p w14:paraId="064CA50B"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63FE8733" w14:textId="77777777" w:rsidTr="00502C9B">
        <w:trPr>
          <w:cantSplit/>
          <w:trHeight w:val="20"/>
          <w:jc w:val="center"/>
        </w:trPr>
        <w:tc>
          <w:tcPr>
            <w:tcW w:w="604" w:type="pct"/>
            <w:vMerge/>
            <w:shd w:val="clear" w:color="auto" w:fill="auto"/>
            <w:vAlign w:val="center"/>
            <w:hideMark/>
          </w:tcPr>
          <w:p w14:paraId="31E068C5"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top w:val="single" w:sz="4" w:space="0" w:color="auto"/>
            </w:tcBorders>
            <w:shd w:val="clear" w:color="auto" w:fill="auto"/>
            <w:vAlign w:val="center"/>
            <w:hideMark/>
          </w:tcPr>
          <w:p w14:paraId="09202310"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30EDD9F5" w14:textId="38E7832D" w:rsidR="00D92E1F" w:rsidRPr="00C22C47" w:rsidRDefault="00EA36A3"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Government's supportive energy policies and regulations</w:t>
            </w:r>
          </w:p>
        </w:tc>
        <w:tc>
          <w:tcPr>
            <w:tcW w:w="570" w:type="pct"/>
            <w:shd w:val="clear" w:color="auto" w:fill="auto"/>
            <w:vAlign w:val="center"/>
            <w:hideMark/>
          </w:tcPr>
          <w:p w14:paraId="2FCF47DF"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shd w:val="clear" w:color="auto" w:fill="auto"/>
            <w:vAlign w:val="center"/>
            <w:hideMark/>
          </w:tcPr>
          <w:p w14:paraId="3E0514DF"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7C590222" w14:textId="77777777" w:rsidTr="00502C9B">
        <w:trPr>
          <w:cantSplit/>
          <w:trHeight w:val="20"/>
          <w:jc w:val="center"/>
        </w:trPr>
        <w:tc>
          <w:tcPr>
            <w:tcW w:w="604" w:type="pct"/>
            <w:vMerge/>
            <w:shd w:val="clear" w:color="auto" w:fill="auto"/>
            <w:vAlign w:val="center"/>
            <w:hideMark/>
          </w:tcPr>
          <w:p w14:paraId="3695A7B7"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shd w:val="clear" w:color="auto" w:fill="auto"/>
            <w:vAlign w:val="center"/>
            <w:hideMark/>
          </w:tcPr>
          <w:p w14:paraId="264FD872" w14:textId="77777777" w:rsidR="00D92E1F" w:rsidRPr="00C22C47" w:rsidRDefault="00D92E1F" w:rsidP="00A245BB">
            <w:pPr>
              <w:spacing w:before="0" w:after="0"/>
              <w:jc w:val="center"/>
              <w:rPr>
                <w:rFonts w:cstheme="minorHAnsi"/>
                <w:color w:val="000000" w:themeColor="text1"/>
                <w:sz w:val="19"/>
                <w:szCs w:val="19"/>
              </w:rPr>
            </w:pPr>
          </w:p>
        </w:tc>
        <w:tc>
          <w:tcPr>
            <w:tcW w:w="2707" w:type="pct"/>
            <w:shd w:val="clear" w:color="auto" w:fill="auto"/>
            <w:vAlign w:val="center"/>
            <w:hideMark/>
          </w:tcPr>
          <w:p w14:paraId="602F5365"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Compliance with international obligations</w:t>
            </w:r>
          </w:p>
        </w:tc>
        <w:tc>
          <w:tcPr>
            <w:tcW w:w="570" w:type="pct"/>
            <w:shd w:val="clear" w:color="auto" w:fill="auto"/>
            <w:vAlign w:val="center"/>
            <w:hideMark/>
          </w:tcPr>
          <w:p w14:paraId="129F3C8F"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17</w:t>
            </w:r>
          </w:p>
        </w:tc>
        <w:tc>
          <w:tcPr>
            <w:tcW w:w="438" w:type="pct"/>
            <w:shd w:val="clear" w:color="auto" w:fill="auto"/>
            <w:vAlign w:val="center"/>
            <w:hideMark/>
          </w:tcPr>
          <w:p w14:paraId="01E2FEE3"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502C9B" w:rsidRPr="00C22C47" w14:paraId="70AC852C" w14:textId="77777777" w:rsidTr="00502C9B">
        <w:trPr>
          <w:cantSplit/>
          <w:trHeight w:val="20"/>
          <w:jc w:val="center"/>
        </w:trPr>
        <w:tc>
          <w:tcPr>
            <w:tcW w:w="604" w:type="pct"/>
            <w:vMerge/>
            <w:tcBorders>
              <w:bottom w:val="single" w:sz="4" w:space="0" w:color="auto"/>
            </w:tcBorders>
            <w:shd w:val="clear" w:color="auto" w:fill="auto"/>
            <w:vAlign w:val="center"/>
            <w:hideMark/>
          </w:tcPr>
          <w:p w14:paraId="7DB3D0FB" w14:textId="77777777" w:rsidR="00D92E1F" w:rsidRPr="00C22C47" w:rsidRDefault="00D92E1F" w:rsidP="00A245BB">
            <w:pPr>
              <w:spacing w:before="0" w:after="0"/>
              <w:jc w:val="center"/>
              <w:rPr>
                <w:rFonts w:cstheme="minorHAnsi"/>
                <w:color w:val="000000" w:themeColor="text1"/>
                <w:sz w:val="19"/>
                <w:szCs w:val="19"/>
              </w:rPr>
            </w:pPr>
          </w:p>
        </w:tc>
        <w:tc>
          <w:tcPr>
            <w:tcW w:w="681" w:type="pct"/>
            <w:vMerge/>
            <w:tcBorders>
              <w:bottom w:val="single" w:sz="4" w:space="0" w:color="auto"/>
            </w:tcBorders>
            <w:shd w:val="clear" w:color="auto" w:fill="auto"/>
            <w:vAlign w:val="center"/>
            <w:hideMark/>
          </w:tcPr>
          <w:p w14:paraId="76651D0C" w14:textId="77777777" w:rsidR="00D92E1F" w:rsidRPr="00C22C47" w:rsidRDefault="00D92E1F" w:rsidP="00A245BB">
            <w:pPr>
              <w:spacing w:before="0" w:after="0"/>
              <w:jc w:val="center"/>
              <w:rPr>
                <w:rFonts w:cstheme="minorHAnsi"/>
                <w:color w:val="000000" w:themeColor="text1"/>
                <w:sz w:val="19"/>
                <w:szCs w:val="19"/>
              </w:rPr>
            </w:pPr>
          </w:p>
        </w:tc>
        <w:tc>
          <w:tcPr>
            <w:tcW w:w="2707" w:type="pct"/>
            <w:tcBorders>
              <w:bottom w:val="single" w:sz="4" w:space="0" w:color="auto"/>
            </w:tcBorders>
            <w:shd w:val="clear" w:color="auto" w:fill="auto"/>
            <w:vAlign w:val="center"/>
            <w:hideMark/>
          </w:tcPr>
          <w:p w14:paraId="20185CE8" w14:textId="4A4FA770" w:rsidR="00D92E1F" w:rsidRPr="00C22C47" w:rsidRDefault="00C673D4"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Leveraging energy for national development programs.</w:t>
            </w:r>
          </w:p>
        </w:tc>
        <w:tc>
          <w:tcPr>
            <w:tcW w:w="570" w:type="pct"/>
            <w:tcBorders>
              <w:bottom w:val="single" w:sz="4" w:space="0" w:color="auto"/>
            </w:tcBorders>
            <w:shd w:val="clear" w:color="auto" w:fill="auto"/>
            <w:vAlign w:val="center"/>
            <w:hideMark/>
          </w:tcPr>
          <w:p w14:paraId="61B0FA62"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38" w:type="pct"/>
            <w:tcBorders>
              <w:bottom w:val="single" w:sz="4" w:space="0" w:color="auto"/>
            </w:tcBorders>
            <w:shd w:val="clear" w:color="auto" w:fill="auto"/>
            <w:vAlign w:val="center"/>
            <w:hideMark/>
          </w:tcPr>
          <w:p w14:paraId="5D827417" w14:textId="77777777" w:rsidR="00D92E1F" w:rsidRPr="00C22C47" w:rsidRDefault="00D92E1F" w:rsidP="00A245BB">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bl>
    <w:p w14:paraId="29C5BC69" w14:textId="68FCCCB4" w:rsidR="004131E7" w:rsidRPr="00C22C47" w:rsidRDefault="004131E7" w:rsidP="004131E7">
      <w:pPr>
        <w:pStyle w:val="Subtitle"/>
        <w:rPr>
          <w:i/>
          <w:iCs/>
          <w:color w:val="000000" w:themeColor="text1"/>
        </w:rPr>
      </w:pPr>
      <w:r w:rsidRPr="00C22C47">
        <w:rPr>
          <w:color w:val="000000" w:themeColor="text1"/>
        </w:rPr>
        <w:t xml:space="preserve">Table </w:t>
      </w:r>
      <w:r w:rsidRPr="00C22C47">
        <w:rPr>
          <w:color w:val="000000" w:themeColor="text1"/>
        </w:rPr>
        <w:fldChar w:fldCharType="begin"/>
      </w:r>
      <w:r w:rsidRPr="00C22C47">
        <w:rPr>
          <w:color w:val="000000" w:themeColor="text1"/>
        </w:rPr>
        <w:instrText xml:space="preserve"> SEQ Table \* ARABIC </w:instrText>
      </w:r>
      <w:r w:rsidRPr="00C22C47">
        <w:rPr>
          <w:color w:val="000000" w:themeColor="text1"/>
        </w:rPr>
        <w:fldChar w:fldCharType="separate"/>
      </w:r>
      <w:r>
        <w:rPr>
          <w:noProof/>
          <w:color w:val="000000" w:themeColor="text1"/>
        </w:rPr>
        <w:t>8</w:t>
      </w:r>
      <w:r w:rsidRPr="00C22C47">
        <w:rPr>
          <w:noProof/>
          <w:color w:val="000000" w:themeColor="text1"/>
        </w:rPr>
        <w:fldChar w:fldCharType="end"/>
      </w:r>
      <w:r w:rsidRPr="00C22C47">
        <w:rPr>
          <w:color w:val="000000" w:themeColor="text1"/>
        </w:rPr>
        <w:t>. SASB, GRI and SDG overlapping metrics</w:t>
      </w:r>
      <w:r>
        <w:rPr>
          <w:color w:val="000000" w:themeColor="text1"/>
        </w:rPr>
        <w:t xml:space="preserve"> with available metrics in literature for energy and hydrogen sustainability framework</w:t>
      </w:r>
      <w:r w:rsidRPr="00C22C47">
        <w:rPr>
          <w:color w:val="000000" w:themeColor="text1"/>
        </w:rPr>
        <w:t xml:space="preserve"> divided into major and subcategories under the broader </w:t>
      </w:r>
      <w:r>
        <w:rPr>
          <w:color w:val="000000" w:themeColor="text1"/>
        </w:rPr>
        <w:t>environment</w:t>
      </w:r>
      <w:r w:rsidRPr="00C22C47">
        <w:rPr>
          <w:color w:val="000000" w:themeColor="text1"/>
        </w:rPr>
        <w:t xml:space="preserve"> aspect. </w:t>
      </w:r>
    </w:p>
    <w:tbl>
      <w:tblPr>
        <w:tblW w:w="5000" w:type="pct"/>
        <w:tblBorders>
          <w:top w:val="single" w:sz="4" w:space="0" w:color="auto"/>
          <w:bottom w:val="single" w:sz="4" w:space="0" w:color="auto"/>
        </w:tblBorders>
        <w:tblLook w:val="04A0" w:firstRow="1" w:lastRow="0" w:firstColumn="1" w:lastColumn="0" w:noHBand="0" w:noVBand="1"/>
      </w:tblPr>
      <w:tblGrid>
        <w:gridCol w:w="1164"/>
        <w:gridCol w:w="1441"/>
        <w:gridCol w:w="4843"/>
        <w:gridCol w:w="1086"/>
        <w:gridCol w:w="826"/>
      </w:tblGrid>
      <w:tr w:rsidR="00C22C47" w:rsidRPr="00C22C47" w14:paraId="6E05CB9E" w14:textId="77777777" w:rsidTr="004131E7">
        <w:trPr>
          <w:cantSplit/>
          <w:trHeight w:val="20"/>
          <w:tblHeader/>
        </w:trPr>
        <w:tc>
          <w:tcPr>
            <w:tcW w:w="622" w:type="pct"/>
            <w:tcBorders>
              <w:top w:val="single" w:sz="4" w:space="0" w:color="auto"/>
              <w:bottom w:val="single" w:sz="4" w:space="0" w:color="auto"/>
            </w:tcBorders>
            <w:shd w:val="clear" w:color="auto" w:fill="auto"/>
            <w:vAlign w:val="center"/>
            <w:hideMark/>
          </w:tcPr>
          <w:p w14:paraId="324A6BBF" w14:textId="77777777" w:rsidR="00C703E8" w:rsidRPr="00C22C47" w:rsidRDefault="00C703E8" w:rsidP="00C703E8">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Objective</w:t>
            </w:r>
          </w:p>
        </w:tc>
        <w:tc>
          <w:tcPr>
            <w:tcW w:w="770" w:type="pct"/>
            <w:tcBorders>
              <w:top w:val="single" w:sz="4" w:space="0" w:color="auto"/>
              <w:bottom w:val="single" w:sz="4" w:space="0" w:color="auto"/>
            </w:tcBorders>
            <w:shd w:val="clear" w:color="auto" w:fill="auto"/>
            <w:vAlign w:val="center"/>
            <w:hideMark/>
          </w:tcPr>
          <w:p w14:paraId="6C144365" w14:textId="77777777" w:rsidR="00C703E8" w:rsidRPr="00C22C47" w:rsidRDefault="00C703E8" w:rsidP="00C703E8">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Metric</w:t>
            </w:r>
          </w:p>
        </w:tc>
        <w:tc>
          <w:tcPr>
            <w:tcW w:w="2587" w:type="pct"/>
            <w:tcBorders>
              <w:top w:val="single" w:sz="4" w:space="0" w:color="auto"/>
              <w:bottom w:val="single" w:sz="4" w:space="0" w:color="auto"/>
            </w:tcBorders>
            <w:shd w:val="clear" w:color="auto" w:fill="auto"/>
            <w:vAlign w:val="center"/>
            <w:hideMark/>
          </w:tcPr>
          <w:p w14:paraId="606A5EB1" w14:textId="77777777" w:rsidR="00C703E8" w:rsidRPr="00C22C47" w:rsidRDefault="00C703E8" w:rsidP="00C703E8">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Sub-Metric</w:t>
            </w:r>
          </w:p>
        </w:tc>
        <w:tc>
          <w:tcPr>
            <w:tcW w:w="580" w:type="pct"/>
            <w:tcBorders>
              <w:top w:val="single" w:sz="4" w:space="0" w:color="auto"/>
              <w:bottom w:val="single" w:sz="4" w:space="0" w:color="auto"/>
            </w:tcBorders>
            <w:shd w:val="clear" w:color="auto" w:fill="auto"/>
            <w:vAlign w:val="center"/>
            <w:hideMark/>
          </w:tcPr>
          <w:p w14:paraId="6BBFA6CE" w14:textId="6DCB4309" w:rsidR="00C703E8" w:rsidRPr="00C22C47" w:rsidRDefault="00C703E8" w:rsidP="00C703E8">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SDG Goal</w:t>
            </w:r>
          </w:p>
        </w:tc>
        <w:tc>
          <w:tcPr>
            <w:tcW w:w="441" w:type="pct"/>
            <w:tcBorders>
              <w:top w:val="single" w:sz="4" w:space="0" w:color="auto"/>
              <w:bottom w:val="single" w:sz="4" w:space="0" w:color="auto"/>
            </w:tcBorders>
            <w:shd w:val="clear" w:color="auto" w:fill="auto"/>
            <w:vAlign w:val="center"/>
            <w:hideMark/>
          </w:tcPr>
          <w:p w14:paraId="326F2C5D" w14:textId="77777777" w:rsidR="00C703E8" w:rsidRPr="00C22C47" w:rsidRDefault="00C703E8" w:rsidP="00C703E8">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Source</w:t>
            </w:r>
          </w:p>
        </w:tc>
      </w:tr>
      <w:tr w:rsidR="00C22C47" w:rsidRPr="00C22C47" w14:paraId="749FCFE0" w14:textId="77777777" w:rsidTr="004131E7">
        <w:trPr>
          <w:cantSplit/>
          <w:trHeight w:val="20"/>
        </w:trPr>
        <w:tc>
          <w:tcPr>
            <w:tcW w:w="622" w:type="pct"/>
            <w:vMerge w:val="restart"/>
            <w:tcBorders>
              <w:top w:val="single" w:sz="4" w:space="0" w:color="auto"/>
            </w:tcBorders>
            <w:shd w:val="clear" w:color="auto" w:fill="auto"/>
            <w:textDirection w:val="btLr"/>
            <w:vAlign w:val="center"/>
            <w:hideMark/>
          </w:tcPr>
          <w:p w14:paraId="05E93527" w14:textId="29D792A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Environmental</w:t>
            </w:r>
          </w:p>
        </w:tc>
        <w:tc>
          <w:tcPr>
            <w:tcW w:w="770" w:type="pct"/>
            <w:vMerge w:val="restart"/>
            <w:tcBorders>
              <w:top w:val="single" w:sz="4" w:space="0" w:color="auto"/>
              <w:bottom w:val="nil"/>
            </w:tcBorders>
            <w:shd w:val="clear" w:color="auto" w:fill="auto"/>
            <w:vAlign w:val="center"/>
            <w:hideMark/>
          </w:tcPr>
          <w:p w14:paraId="5EA8BEEE" w14:textId="3B5871C1" w:rsidR="00C703E8" w:rsidRPr="00C22C47" w:rsidRDefault="0076009A" w:rsidP="00C703E8">
            <w:pPr>
              <w:spacing w:before="0" w:after="0"/>
              <w:jc w:val="center"/>
              <w:rPr>
                <w:rFonts w:cstheme="minorHAnsi"/>
                <w:color w:val="000000" w:themeColor="text1"/>
                <w:sz w:val="19"/>
                <w:szCs w:val="19"/>
              </w:rPr>
            </w:pPr>
            <w:hyperlink w:anchor="_Resource_Use_and" w:history="1">
              <w:r w:rsidR="00C703E8" w:rsidRPr="002621BB">
                <w:rPr>
                  <w:rStyle w:val="Hyperlink"/>
                  <w:rFonts w:cstheme="minorHAnsi"/>
                  <w:sz w:val="19"/>
                  <w:szCs w:val="19"/>
                </w:rPr>
                <w:t>Resource Use and Pollution</w:t>
              </w:r>
            </w:hyperlink>
          </w:p>
        </w:tc>
        <w:tc>
          <w:tcPr>
            <w:tcW w:w="2587" w:type="pct"/>
            <w:tcBorders>
              <w:top w:val="single" w:sz="4" w:space="0" w:color="auto"/>
              <w:bottom w:val="nil"/>
            </w:tcBorders>
            <w:shd w:val="clear" w:color="auto" w:fill="auto"/>
            <w:vAlign w:val="center"/>
            <w:hideMark/>
          </w:tcPr>
          <w:p w14:paraId="0AB19F49"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Water Pollution</w:t>
            </w:r>
          </w:p>
        </w:tc>
        <w:tc>
          <w:tcPr>
            <w:tcW w:w="580" w:type="pct"/>
            <w:tcBorders>
              <w:top w:val="single" w:sz="4" w:space="0" w:color="auto"/>
              <w:bottom w:val="nil"/>
            </w:tcBorders>
            <w:shd w:val="clear" w:color="auto" w:fill="auto"/>
            <w:vAlign w:val="center"/>
            <w:hideMark/>
          </w:tcPr>
          <w:p w14:paraId="5B38596F"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6</w:t>
            </w:r>
          </w:p>
        </w:tc>
        <w:tc>
          <w:tcPr>
            <w:tcW w:w="441" w:type="pct"/>
            <w:tcBorders>
              <w:top w:val="single" w:sz="4" w:space="0" w:color="auto"/>
              <w:bottom w:val="nil"/>
            </w:tcBorders>
            <w:shd w:val="clear" w:color="auto" w:fill="auto"/>
            <w:vAlign w:val="center"/>
            <w:hideMark/>
          </w:tcPr>
          <w:p w14:paraId="1BCBCDB8"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600410C1" w14:textId="77777777" w:rsidTr="004131E7">
        <w:trPr>
          <w:cantSplit/>
          <w:trHeight w:val="20"/>
        </w:trPr>
        <w:tc>
          <w:tcPr>
            <w:tcW w:w="622" w:type="pct"/>
            <w:vMerge/>
            <w:shd w:val="clear" w:color="auto" w:fill="auto"/>
            <w:vAlign w:val="center"/>
            <w:hideMark/>
          </w:tcPr>
          <w:p w14:paraId="31F6C1E2"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tcBorders>
              <w:top w:val="nil"/>
              <w:bottom w:val="nil"/>
            </w:tcBorders>
            <w:shd w:val="clear" w:color="auto" w:fill="auto"/>
            <w:vAlign w:val="center"/>
            <w:hideMark/>
          </w:tcPr>
          <w:p w14:paraId="6278B82B" w14:textId="77777777" w:rsidR="00C703E8" w:rsidRPr="00C22C47" w:rsidRDefault="00C703E8" w:rsidP="00C703E8">
            <w:pPr>
              <w:spacing w:before="0" w:after="0"/>
              <w:jc w:val="center"/>
              <w:rPr>
                <w:rFonts w:cstheme="minorHAnsi"/>
                <w:color w:val="000000" w:themeColor="text1"/>
                <w:sz w:val="19"/>
                <w:szCs w:val="19"/>
              </w:rPr>
            </w:pPr>
          </w:p>
        </w:tc>
        <w:tc>
          <w:tcPr>
            <w:tcW w:w="2587" w:type="pct"/>
            <w:tcBorders>
              <w:top w:val="nil"/>
              <w:bottom w:val="nil"/>
            </w:tcBorders>
            <w:shd w:val="clear" w:color="auto" w:fill="auto"/>
            <w:vAlign w:val="center"/>
            <w:hideMark/>
          </w:tcPr>
          <w:p w14:paraId="4C3E24E2"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Land Pollution</w:t>
            </w:r>
          </w:p>
        </w:tc>
        <w:tc>
          <w:tcPr>
            <w:tcW w:w="580" w:type="pct"/>
            <w:tcBorders>
              <w:top w:val="nil"/>
              <w:bottom w:val="nil"/>
            </w:tcBorders>
            <w:shd w:val="clear" w:color="auto" w:fill="auto"/>
            <w:vAlign w:val="center"/>
            <w:hideMark/>
          </w:tcPr>
          <w:p w14:paraId="0719D516"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15</w:t>
            </w:r>
          </w:p>
        </w:tc>
        <w:tc>
          <w:tcPr>
            <w:tcW w:w="441" w:type="pct"/>
            <w:tcBorders>
              <w:top w:val="nil"/>
              <w:bottom w:val="nil"/>
            </w:tcBorders>
            <w:shd w:val="clear" w:color="auto" w:fill="auto"/>
            <w:vAlign w:val="center"/>
            <w:hideMark/>
          </w:tcPr>
          <w:p w14:paraId="05105E73"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5B65E279" w14:textId="77777777" w:rsidTr="004131E7">
        <w:trPr>
          <w:cantSplit/>
          <w:trHeight w:val="20"/>
        </w:trPr>
        <w:tc>
          <w:tcPr>
            <w:tcW w:w="622" w:type="pct"/>
            <w:vMerge/>
            <w:shd w:val="clear" w:color="auto" w:fill="auto"/>
            <w:vAlign w:val="center"/>
            <w:hideMark/>
          </w:tcPr>
          <w:p w14:paraId="1703B80C"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tcBorders>
              <w:top w:val="nil"/>
              <w:bottom w:val="nil"/>
            </w:tcBorders>
            <w:shd w:val="clear" w:color="auto" w:fill="auto"/>
            <w:vAlign w:val="center"/>
            <w:hideMark/>
          </w:tcPr>
          <w:p w14:paraId="04B86879" w14:textId="77777777" w:rsidR="00C703E8" w:rsidRPr="00C22C47" w:rsidRDefault="00C703E8" w:rsidP="00C703E8">
            <w:pPr>
              <w:spacing w:before="0" w:after="0"/>
              <w:jc w:val="center"/>
              <w:rPr>
                <w:rFonts w:cstheme="minorHAnsi"/>
                <w:color w:val="000000" w:themeColor="text1"/>
                <w:sz w:val="19"/>
                <w:szCs w:val="19"/>
              </w:rPr>
            </w:pPr>
          </w:p>
        </w:tc>
        <w:tc>
          <w:tcPr>
            <w:tcW w:w="2587" w:type="pct"/>
            <w:tcBorders>
              <w:top w:val="nil"/>
              <w:bottom w:val="nil"/>
            </w:tcBorders>
            <w:shd w:val="clear" w:color="auto" w:fill="auto"/>
            <w:vAlign w:val="center"/>
            <w:hideMark/>
          </w:tcPr>
          <w:p w14:paraId="318CA1B4"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Noise Pollution</w:t>
            </w:r>
          </w:p>
        </w:tc>
        <w:tc>
          <w:tcPr>
            <w:tcW w:w="580" w:type="pct"/>
            <w:tcBorders>
              <w:top w:val="nil"/>
              <w:bottom w:val="nil"/>
            </w:tcBorders>
            <w:shd w:val="clear" w:color="auto" w:fill="auto"/>
            <w:vAlign w:val="center"/>
            <w:hideMark/>
          </w:tcPr>
          <w:p w14:paraId="7B24559F"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11</w:t>
            </w:r>
          </w:p>
        </w:tc>
        <w:tc>
          <w:tcPr>
            <w:tcW w:w="441" w:type="pct"/>
            <w:tcBorders>
              <w:top w:val="nil"/>
              <w:bottom w:val="nil"/>
            </w:tcBorders>
            <w:shd w:val="clear" w:color="auto" w:fill="auto"/>
            <w:vAlign w:val="center"/>
            <w:hideMark/>
          </w:tcPr>
          <w:p w14:paraId="3BF5AFCB"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60AC737C" w14:textId="77777777" w:rsidTr="004131E7">
        <w:trPr>
          <w:cantSplit/>
          <w:trHeight w:val="20"/>
        </w:trPr>
        <w:tc>
          <w:tcPr>
            <w:tcW w:w="622" w:type="pct"/>
            <w:vMerge/>
            <w:shd w:val="clear" w:color="auto" w:fill="auto"/>
            <w:vAlign w:val="center"/>
            <w:hideMark/>
          </w:tcPr>
          <w:p w14:paraId="6EAE3317"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tcBorders>
              <w:top w:val="nil"/>
              <w:bottom w:val="nil"/>
            </w:tcBorders>
            <w:shd w:val="clear" w:color="auto" w:fill="auto"/>
            <w:vAlign w:val="center"/>
            <w:hideMark/>
          </w:tcPr>
          <w:p w14:paraId="2BEAF237" w14:textId="77777777" w:rsidR="00C703E8" w:rsidRPr="00C22C47" w:rsidRDefault="00C703E8" w:rsidP="00C703E8">
            <w:pPr>
              <w:spacing w:before="0" w:after="0"/>
              <w:jc w:val="center"/>
              <w:rPr>
                <w:rFonts w:cstheme="minorHAnsi"/>
                <w:color w:val="000000" w:themeColor="text1"/>
                <w:sz w:val="19"/>
                <w:szCs w:val="19"/>
              </w:rPr>
            </w:pPr>
          </w:p>
        </w:tc>
        <w:tc>
          <w:tcPr>
            <w:tcW w:w="2587" w:type="pct"/>
            <w:tcBorders>
              <w:top w:val="nil"/>
              <w:bottom w:val="nil"/>
            </w:tcBorders>
            <w:shd w:val="clear" w:color="auto" w:fill="auto"/>
            <w:vAlign w:val="center"/>
            <w:hideMark/>
          </w:tcPr>
          <w:p w14:paraId="6F5B015E"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Air Pollution</w:t>
            </w:r>
          </w:p>
        </w:tc>
        <w:tc>
          <w:tcPr>
            <w:tcW w:w="580" w:type="pct"/>
            <w:tcBorders>
              <w:top w:val="nil"/>
              <w:bottom w:val="nil"/>
            </w:tcBorders>
            <w:shd w:val="clear" w:color="auto" w:fill="auto"/>
            <w:vAlign w:val="center"/>
            <w:hideMark/>
          </w:tcPr>
          <w:p w14:paraId="115067BD"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11</w:t>
            </w:r>
          </w:p>
        </w:tc>
        <w:tc>
          <w:tcPr>
            <w:tcW w:w="441" w:type="pct"/>
            <w:tcBorders>
              <w:top w:val="nil"/>
              <w:bottom w:val="nil"/>
            </w:tcBorders>
            <w:shd w:val="clear" w:color="auto" w:fill="auto"/>
            <w:vAlign w:val="center"/>
            <w:hideMark/>
          </w:tcPr>
          <w:p w14:paraId="54A88969"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73021D5C" w14:textId="77777777" w:rsidTr="004131E7">
        <w:trPr>
          <w:cantSplit/>
          <w:trHeight w:val="20"/>
        </w:trPr>
        <w:tc>
          <w:tcPr>
            <w:tcW w:w="622" w:type="pct"/>
            <w:vMerge/>
            <w:shd w:val="clear" w:color="auto" w:fill="auto"/>
            <w:vAlign w:val="center"/>
            <w:hideMark/>
          </w:tcPr>
          <w:p w14:paraId="52D73CEE"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tcBorders>
              <w:top w:val="nil"/>
              <w:bottom w:val="single" w:sz="4" w:space="0" w:color="auto"/>
            </w:tcBorders>
            <w:shd w:val="clear" w:color="auto" w:fill="auto"/>
            <w:vAlign w:val="center"/>
            <w:hideMark/>
          </w:tcPr>
          <w:p w14:paraId="26494AFB" w14:textId="77777777" w:rsidR="00C703E8" w:rsidRPr="00C22C47" w:rsidRDefault="00C703E8" w:rsidP="00C703E8">
            <w:pPr>
              <w:spacing w:before="0" w:after="0"/>
              <w:jc w:val="center"/>
              <w:rPr>
                <w:rFonts w:cstheme="minorHAnsi"/>
                <w:color w:val="000000" w:themeColor="text1"/>
                <w:sz w:val="19"/>
                <w:szCs w:val="19"/>
              </w:rPr>
            </w:pPr>
          </w:p>
        </w:tc>
        <w:tc>
          <w:tcPr>
            <w:tcW w:w="2587" w:type="pct"/>
            <w:tcBorders>
              <w:top w:val="nil"/>
              <w:bottom w:val="single" w:sz="4" w:space="0" w:color="auto"/>
            </w:tcBorders>
            <w:shd w:val="clear" w:color="auto" w:fill="auto"/>
            <w:vAlign w:val="center"/>
            <w:hideMark/>
          </w:tcPr>
          <w:p w14:paraId="64CE54D3"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Consumption of natural resources to exploit energy</w:t>
            </w:r>
          </w:p>
        </w:tc>
        <w:tc>
          <w:tcPr>
            <w:tcW w:w="580" w:type="pct"/>
            <w:tcBorders>
              <w:top w:val="nil"/>
              <w:bottom w:val="single" w:sz="4" w:space="0" w:color="auto"/>
            </w:tcBorders>
            <w:shd w:val="clear" w:color="auto" w:fill="auto"/>
            <w:vAlign w:val="center"/>
            <w:hideMark/>
          </w:tcPr>
          <w:p w14:paraId="5A991418"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12</w:t>
            </w:r>
          </w:p>
        </w:tc>
        <w:tc>
          <w:tcPr>
            <w:tcW w:w="441" w:type="pct"/>
            <w:tcBorders>
              <w:top w:val="nil"/>
              <w:bottom w:val="single" w:sz="4" w:space="0" w:color="auto"/>
            </w:tcBorders>
            <w:shd w:val="clear" w:color="auto" w:fill="auto"/>
            <w:vAlign w:val="center"/>
            <w:hideMark/>
          </w:tcPr>
          <w:p w14:paraId="3DA4B6B5"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64964D22" w14:textId="77777777" w:rsidTr="004131E7">
        <w:trPr>
          <w:cantSplit/>
          <w:trHeight w:val="20"/>
        </w:trPr>
        <w:tc>
          <w:tcPr>
            <w:tcW w:w="622" w:type="pct"/>
            <w:vMerge/>
            <w:shd w:val="clear" w:color="auto" w:fill="auto"/>
            <w:vAlign w:val="center"/>
            <w:hideMark/>
          </w:tcPr>
          <w:p w14:paraId="332D49EF"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val="restart"/>
            <w:tcBorders>
              <w:top w:val="single" w:sz="4" w:space="0" w:color="auto"/>
              <w:bottom w:val="nil"/>
            </w:tcBorders>
            <w:shd w:val="clear" w:color="auto" w:fill="auto"/>
            <w:vAlign w:val="center"/>
            <w:hideMark/>
          </w:tcPr>
          <w:p w14:paraId="6B7A24DF" w14:textId="333EFD04" w:rsidR="00C703E8" w:rsidRPr="00C22C47" w:rsidRDefault="0076009A" w:rsidP="00C703E8">
            <w:pPr>
              <w:spacing w:before="0" w:after="0"/>
              <w:jc w:val="center"/>
              <w:rPr>
                <w:rFonts w:cstheme="minorHAnsi"/>
                <w:color w:val="000000" w:themeColor="text1"/>
                <w:sz w:val="19"/>
                <w:szCs w:val="19"/>
              </w:rPr>
            </w:pPr>
            <w:hyperlink w:anchor="_Waste_and_Emissions" w:history="1">
              <w:r w:rsidR="00C703E8" w:rsidRPr="002621BB">
                <w:rPr>
                  <w:rStyle w:val="Hyperlink"/>
                  <w:rFonts w:cstheme="minorHAnsi"/>
                  <w:sz w:val="19"/>
                  <w:szCs w:val="19"/>
                </w:rPr>
                <w:t>Waste and Emissions</w:t>
              </w:r>
            </w:hyperlink>
          </w:p>
        </w:tc>
        <w:tc>
          <w:tcPr>
            <w:tcW w:w="2587" w:type="pct"/>
            <w:tcBorders>
              <w:top w:val="single" w:sz="4" w:space="0" w:color="auto"/>
              <w:bottom w:val="nil"/>
            </w:tcBorders>
            <w:shd w:val="clear" w:color="auto" w:fill="auto"/>
            <w:vAlign w:val="center"/>
            <w:hideMark/>
          </w:tcPr>
          <w:p w14:paraId="47E5710D"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Amount of non-recyclable waste</w:t>
            </w:r>
          </w:p>
        </w:tc>
        <w:tc>
          <w:tcPr>
            <w:tcW w:w="580" w:type="pct"/>
            <w:tcBorders>
              <w:top w:val="single" w:sz="4" w:space="0" w:color="auto"/>
              <w:bottom w:val="nil"/>
            </w:tcBorders>
            <w:shd w:val="clear" w:color="auto" w:fill="auto"/>
            <w:vAlign w:val="center"/>
            <w:hideMark/>
          </w:tcPr>
          <w:p w14:paraId="482EEB3F"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12</w:t>
            </w:r>
          </w:p>
        </w:tc>
        <w:tc>
          <w:tcPr>
            <w:tcW w:w="441" w:type="pct"/>
            <w:tcBorders>
              <w:top w:val="single" w:sz="4" w:space="0" w:color="auto"/>
              <w:bottom w:val="nil"/>
            </w:tcBorders>
            <w:shd w:val="clear" w:color="auto" w:fill="auto"/>
            <w:vAlign w:val="center"/>
            <w:hideMark/>
          </w:tcPr>
          <w:p w14:paraId="4B039C77"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5559AA5E" w14:textId="77777777" w:rsidTr="004131E7">
        <w:trPr>
          <w:cantSplit/>
          <w:trHeight w:val="20"/>
        </w:trPr>
        <w:tc>
          <w:tcPr>
            <w:tcW w:w="622" w:type="pct"/>
            <w:vMerge/>
            <w:shd w:val="clear" w:color="auto" w:fill="auto"/>
            <w:vAlign w:val="center"/>
            <w:hideMark/>
          </w:tcPr>
          <w:p w14:paraId="7519EB43"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tcBorders>
              <w:top w:val="nil"/>
              <w:bottom w:val="nil"/>
            </w:tcBorders>
            <w:shd w:val="clear" w:color="auto" w:fill="auto"/>
            <w:vAlign w:val="center"/>
            <w:hideMark/>
          </w:tcPr>
          <w:p w14:paraId="7E636857" w14:textId="77777777" w:rsidR="00C703E8" w:rsidRPr="00C22C47" w:rsidRDefault="00C703E8" w:rsidP="00C703E8">
            <w:pPr>
              <w:spacing w:before="0" w:after="0"/>
              <w:jc w:val="center"/>
              <w:rPr>
                <w:rFonts w:cstheme="minorHAnsi"/>
                <w:color w:val="000000" w:themeColor="text1"/>
                <w:sz w:val="19"/>
                <w:szCs w:val="19"/>
              </w:rPr>
            </w:pPr>
          </w:p>
        </w:tc>
        <w:tc>
          <w:tcPr>
            <w:tcW w:w="2587" w:type="pct"/>
            <w:tcBorders>
              <w:top w:val="nil"/>
              <w:bottom w:val="nil"/>
            </w:tcBorders>
            <w:shd w:val="clear" w:color="auto" w:fill="auto"/>
            <w:vAlign w:val="center"/>
            <w:hideMark/>
          </w:tcPr>
          <w:p w14:paraId="46A6CD50"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Waste Generated</w:t>
            </w:r>
          </w:p>
        </w:tc>
        <w:tc>
          <w:tcPr>
            <w:tcW w:w="580" w:type="pct"/>
            <w:tcBorders>
              <w:top w:val="nil"/>
              <w:bottom w:val="nil"/>
            </w:tcBorders>
            <w:shd w:val="clear" w:color="auto" w:fill="auto"/>
            <w:vAlign w:val="center"/>
            <w:hideMark/>
          </w:tcPr>
          <w:p w14:paraId="081F4BB6"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12</w:t>
            </w:r>
          </w:p>
        </w:tc>
        <w:tc>
          <w:tcPr>
            <w:tcW w:w="441" w:type="pct"/>
            <w:tcBorders>
              <w:top w:val="nil"/>
              <w:bottom w:val="nil"/>
            </w:tcBorders>
            <w:shd w:val="clear" w:color="auto" w:fill="auto"/>
            <w:vAlign w:val="center"/>
            <w:hideMark/>
          </w:tcPr>
          <w:p w14:paraId="33A829D5"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669760EA" w14:textId="77777777" w:rsidTr="004131E7">
        <w:trPr>
          <w:cantSplit/>
          <w:trHeight w:val="20"/>
        </w:trPr>
        <w:tc>
          <w:tcPr>
            <w:tcW w:w="622" w:type="pct"/>
            <w:vMerge/>
            <w:shd w:val="clear" w:color="auto" w:fill="auto"/>
            <w:vAlign w:val="center"/>
            <w:hideMark/>
          </w:tcPr>
          <w:p w14:paraId="6BE9B7C1"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tcBorders>
              <w:top w:val="nil"/>
              <w:bottom w:val="nil"/>
            </w:tcBorders>
            <w:shd w:val="clear" w:color="auto" w:fill="auto"/>
            <w:vAlign w:val="center"/>
            <w:hideMark/>
          </w:tcPr>
          <w:p w14:paraId="003B5EA1" w14:textId="77777777" w:rsidR="00C703E8" w:rsidRPr="00C22C47" w:rsidRDefault="00C703E8" w:rsidP="00C703E8">
            <w:pPr>
              <w:spacing w:before="0" w:after="0"/>
              <w:jc w:val="center"/>
              <w:rPr>
                <w:rFonts w:cstheme="minorHAnsi"/>
                <w:color w:val="000000" w:themeColor="text1"/>
                <w:sz w:val="19"/>
                <w:szCs w:val="19"/>
              </w:rPr>
            </w:pPr>
          </w:p>
        </w:tc>
        <w:tc>
          <w:tcPr>
            <w:tcW w:w="2587" w:type="pct"/>
            <w:tcBorders>
              <w:top w:val="nil"/>
              <w:bottom w:val="nil"/>
            </w:tcBorders>
            <w:shd w:val="clear" w:color="auto" w:fill="auto"/>
            <w:vAlign w:val="center"/>
            <w:hideMark/>
          </w:tcPr>
          <w:p w14:paraId="00A9EF2E"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Waste Diverted</w:t>
            </w:r>
          </w:p>
        </w:tc>
        <w:tc>
          <w:tcPr>
            <w:tcW w:w="580" w:type="pct"/>
            <w:tcBorders>
              <w:top w:val="nil"/>
              <w:bottom w:val="nil"/>
            </w:tcBorders>
            <w:shd w:val="clear" w:color="auto" w:fill="auto"/>
            <w:vAlign w:val="center"/>
            <w:hideMark/>
          </w:tcPr>
          <w:p w14:paraId="12495D08"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12</w:t>
            </w:r>
          </w:p>
        </w:tc>
        <w:tc>
          <w:tcPr>
            <w:tcW w:w="441" w:type="pct"/>
            <w:tcBorders>
              <w:top w:val="nil"/>
              <w:bottom w:val="nil"/>
            </w:tcBorders>
            <w:shd w:val="clear" w:color="auto" w:fill="auto"/>
            <w:vAlign w:val="center"/>
            <w:hideMark/>
          </w:tcPr>
          <w:p w14:paraId="2382A8ED"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32B0B256" w14:textId="77777777" w:rsidTr="004131E7">
        <w:trPr>
          <w:cantSplit/>
          <w:trHeight w:val="20"/>
        </w:trPr>
        <w:tc>
          <w:tcPr>
            <w:tcW w:w="622" w:type="pct"/>
            <w:vMerge/>
            <w:shd w:val="clear" w:color="auto" w:fill="auto"/>
            <w:vAlign w:val="center"/>
            <w:hideMark/>
          </w:tcPr>
          <w:p w14:paraId="586DE286"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tcBorders>
              <w:top w:val="nil"/>
              <w:bottom w:val="nil"/>
            </w:tcBorders>
            <w:shd w:val="clear" w:color="auto" w:fill="auto"/>
            <w:vAlign w:val="center"/>
            <w:hideMark/>
          </w:tcPr>
          <w:p w14:paraId="0A980FA4" w14:textId="77777777" w:rsidR="00C703E8" w:rsidRPr="00C22C47" w:rsidRDefault="00C703E8" w:rsidP="00C703E8">
            <w:pPr>
              <w:spacing w:before="0" w:after="0"/>
              <w:jc w:val="center"/>
              <w:rPr>
                <w:rFonts w:cstheme="minorHAnsi"/>
                <w:color w:val="000000" w:themeColor="text1"/>
                <w:sz w:val="19"/>
                <w:szCs w:val="19"/>
              </w:rPr>
            </w:pPr>
          </w:p>
        </w:tc>
        <w:tc>
          <w:tcPr>
            <w:tcW w:w="2587" w:type="pct"/>
            <w:tcBorders>
              <w:top w:val="nil"/>
              <w:bottom w:val="nil"/>
            </w:tcBorders>
            <w:shd w:val="clear" w:color="auto" w:fill="auto"/>
            <w:vAlign w:val="center"/>
            <w:hideMark/>
          </w:tcPr>
          <w:p w14:paraId="069CBBB5"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Waste Disposal</w:t>
            </w:r>
          </w:p>
        </w:tc>
        <w:tc>
          <w:tcPr>
            <w:tcW w:w="580" w:type="pct"/>
            <w:tcBorders>
              <w:top w:val="nil"/>
              <w:bottom w:val="nil"/>
            </w:tcBorders>
            <w:shd w:val="clear" w:color="auto" w:fill="auto"/>
            <w:vAlign w:val="center"/>
            <w:hideMark/>
          </w:tcPr>
          <w:p w14:paraId="45D9B9EA"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12</w:t>
            </w:r>
          </w:p>
        </w:tc>
        <w:tc>
          <w:tcPr>
            <w:tcW w:w="441" w:type="pct"/>
            <w:tcBorders>
              <w:top w:val="nil"/>
              <w:bottom w:val="nil"/>
            </w:tcBorders>
            <w:shd w:val="clear" w:color="auto" w:fill="auto"/>
            <w:vAlign w:val="center"/>
            <w:hideMark/>
          </w:tcPr>
          <w:p w14:paraId="4CBE1176"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331B100C" w14:textId="77777777" w:rsidTr="004131E7">
        <w:trPr>
          <w:cantSplit/>
          <w:trHeight w:val="20"/>
        </w:trPr>
        <w:tc>
          <w:tcPr>
            <w:tcW w:w="622" w:type="pct"/>
            <w:vMerge/>
            <w:shd w:val="clear" w:color="auto" w:fill="auto"/>
            <w:vAlign w:val="center"/>
            <w:hideMark/>
          </w:tcPr>
          <w:p w14:paraId="3FB6583F"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tcBorders>
              <w:top w:val="nil"/>
              <w:bottom w:val="single" w:sz="4" w:space="0" w:color="auto"/>
            </w:tcBorders>
            <w:shd w:val="clear" w:color="auto" w:fill="auto"/>
            <w:vAlign w:val="center"/>
            <w:hideMark/>
          </w:tcPr>
          <w:p w14:paraId="51643BE8" w14:textId="77777777" w:rsidR="00C703E8" w:rsidRPr="00C22C47" w:rsidRDefault="00C703E8" w:rsidP="00C703E8">
            <w:pPr>
              <w:spacing w:before="0" w:after="0"/>
              <w:jc w:val="center"/>
              <w:rPr>
                <w:rFonts w:cstheme="minorHAnsi"/>
                <w:color w:val="000000" w:themeColor="text1"/>
                <w:sz w:val="19"/>
                <w:szCs w:val="19"/>
              </w:rPr>
            </w:pPr>
          </w:p>
        </w:tc>
        <w:tc>
          <w:tcPr>
            <w:tcW w:w="2587" w:type="pct"/>
            <w:tcBorders>
              <w:top w:val="nil"/>
              <w:bottom w:val="single" w:sz="4" w:space="0" w:color="auto"/>
            </w:tcBorders>
            <w:shd w:val="clear" w:color="auto" w:fill="auto"/>
            <w:vAlign w:val="center"/>
            <w:hideMark/>
          </w:tcPr>
          <w:p w14:paraId="0D5B1704"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Significant Spills</w:t>
            </w:r>
          </w:p>
        </w:tc>
        <w:tc>
          <w:tcPr>
            <w:tcW w:w="580" w:type="pct"/>
            <w:tcBorders>
              <w:top w:val="nil"/>
              <w:bottom w:val="single" w:sz="4" w:space="0" w:color="auto"/>
            </w:tcBorders>
            <w:shd w:val="clear" w:color="auto" w:fill="auto"/>
            <w:vAlign w:val="center"/>
            <w:hideMark/>
          </w:tcPr>
          <w:p w14:paraId="7A8E9EDC"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15</w:t>
            </w:r>
          </w:p>
        </w:tc>
        <w:tc>
          <w:tcPr>
            <w:tcW w:w="441" w:type="pct"/>
            <w:tcBorders>
              <w:top w:val="nil"/>
              <w:bottom w:val="single" w:sz="4" w:space="0" w:color="auto"/>
            </w:tcBorders>
            <w:shd w:val="clear" w:color="auto" w:fill="auto"/>
            <w:vAlign w:val="center"/>
            <w:hideMark/>
          </w:tcPr>
          <w:p w14:paraId="4C7156C8"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A603398" w14:textId="77777777" w:rsidTr="004131E7">
        <w:trPr>
          <w:cantSplit/>
          <w:trHeight w:val="20"/>
        </w:trPr>
        <w:tc>
          <w:tcPr>
            <w:tcW w:w="622" w:type="pct"/>
            <w:vMerge/>
            <w:shd w:val="clear" w:color="auto" w:fill="auto"/>
            <w:vAlign w:val="center"/>
            <w:hideMark/>
          </w:tcPr>
          <w:p w14:paraId="30436A96"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val="restart"/>
            <w:tcBorders>
              <w:top w:val="single" w:sz="4" w:space="0" w:color="auto"/>
            </w:tcBorders>
            <w:shd w:val="clear" w:color="auto" w:fill="auto"/>
            <w:vAlign w:val="center"/>
            <w:hideMark/>
          </w:tcPr>
          <w:p w14:paraId="255CC83F" w14:textId="5C389387" w:rsidR="00C703E8" w:rsidRPr="00C22C47" w:rsidRDefault="0076009A" w:rsidP="00C703E8">
            <w:pPr>
              <w:spacing w:before="0" w:after="0"/>
              <w:jc w:val="center"/>
              <w:rPr>
                <w:rFonts w:cstheme="minorHAnsi"/>
                <w:color w:val="000000" w:themeColor="text1"/>
                <w:sz w:val="19"/>
                <w:szCs w:val="19"/>
              </w:rPr>
            </w:pPr>
            <w:hyperlink w:anchor="_Greenhouse_Gas_(GHG)" w:history="1">
              <w:r w:rsidR="00C703E8" w:rsidRPr="002621BB">
                <w:rPr>
                  <w:rStyle w:val="Hyperlink"/>
                  <w:rFonts w:cstheme="minorHAnsi"/>
                  <w:sz w:val="19"/>
                  <w:szCs w:val="19"/>
                </w:rPr>
                <w:t>Greenhouse Gas (GHG) and Climate</w:t>
              </w:r>
            </w:hyperlink>
          </w:p>
        </w:tc>
        <w:tc>
          <w:tcPr>
            <w:tcW w:w="2587" w:type="pct"/>
            <w:tcBorders>
              <w:top w:val="single" w:sz="4" w:space="0" w:color="auto"/>
            </w:tcBorders>
            <w:shd w:val="clear" w:color="auto" w:fill="auto"/>
            <w:vAlign w:val="center"/>
            <w:hideMark/>
          </w:tcPr>
          <w:p w14:paraId="737AE4DC"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GHG emissions</w:t>
            </w:r>
          </w:p>
        </w:tc>
        <w:tc>
          <w:tcPr>
            <w:tcW w:w="580" w:type="pct"/>
            <w:tcBorders>
              <w:top w:val="single" w:sz="4" w:space="0" w:color="auto"/>
            </w:tcBorders>
            <w:shd w:val="clear" w:color="auto" w:fill="auto"/>
            <w:vAlign w:val="center"/>
            <w:hideMark/>
          </w:tcPr>
          <w:p w14:paraId="4CAAD32B"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13</w:t>
            </w:r>
          </w:p>
        </w:tc>
        <w:tc>
          <w:tcPr>
            <w:tcW w:w="441" w:type="pct"/>
            <w:tcBorders>
              <w:top w:val="single" w:sz="4" w:space="0" w:color="auto"/>
            </w:tcBorders>
            <w:shd w:val="clear" w:color="auto" w:fill="auto"/>
            <w:vAlign w:val="center"/>
            <w:hideMark/>
          </w:tcPr>
          <w:p w14:paraId="5073ED37"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44429C5C" w14:textId="77777777" w:rsidTr="004131E7">
        <w:trPr>
          <w:cantSplit/>
          <w:trHeight w:val="20"/>
        </w:trPr>
        <w:tc>
          <w:tcPr>
            <w:tcW w:w="622" w:type="pct"/>
            <w:vMerge/>
            <w:shd w:val="clear" w:color="auto" w:fill="auto"/>
            <w:vAlign w:val="center"/>
            <w:hideMark/>
          </w:tcPr>
          <w:p w14:paraId="27A8152D"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shd w:val="clear" w:color="auto" w:fill="auto"/>
            <w:vAlign w:val="center"/>
            <w:hideMark/>
          </w:tcPr>
          <w:p w14:paraId="764139B5" w14:textId="77777777" w:rsidR="00C703E8" w:rsidRPr="00C22C47" w:rsidRDefault="00C703E8" w:rsidP="00C703E8">
            <w:pPr>
              <w:spacing w:before="0" w:after="0"/>
              <w:jc w:val="center"/>
              <w:rPr>
                <w:rFonts w:cstheme="minorHAnsi"/>
                <w:color w:val="000000" w:themeColor="text1"/>
                <w:sz w:val="19"/>
                <w:szCs w:val="19"/>
              </w:rPr>
            </w:pPr>
          </w:p>
        </w:tc>
        <w:tc>
          <w:tcPr>
            <w:tcW w:w="2587" w:type="pct"/>
            <w:shd w:val="clear" w:color="auto" w:fill="auto"/>
            <w:vAlign w:val="center"/>
            <w:hideMark/>
          </w:tcPr>
          <w:p w14:paraId="3F4FD734"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Indirect GHG Emissions (Energy)</w:t>
            </w:r>
          </w:p>
        </w:tc>
        <w:tc>
          <w:tcPr>
            <w:tcW w:w="580" w:type="pct"/>
            <w:shd w:val="clear" w:color="auto" w:fill="auto"/>
            <w:vAlign w:val="center"/>
            <w:hideMark/>
          </w:tcPr>
          <w:p w14:paraId="74FFC8DE"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13</w:t>
            </w:r>
          </w:p>
        </w:tc>
        <w:tc>
          <w:tcPr>
            <w:tcW w:w="441" w:type="pct"/>
            <w:shd w:val="clear" w:color="auto" w:fill="auto"/>
            <w:vAlign w:val="center"/>
            <w:hideMark/>
          </w:tcPr>
          <w:p w14:paraId="13C9EAD5"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35F0A45E" w14:textId="77777777" w:rsidTr="004131E7">
        <w:trPr>
          <w:cantSplit/>
          <w:trHeight w:val="20"/>
        </w:trPr>
        <w:tc>
          <w:tcPr>
            <w:tcW w:w="622" w:type="pct"/>
            <w:vMerge/>
            <w:shd w:val="clear" w:color="auto" w:fill="auto"/>
            <w:vAlign w:val="center"/>
            <w:hideMark/>
          </w:tcPr>
          <w:p w14:paraId="4A754AFD"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shd w:val="clear" w:color="auto" w:fill="auto"/>
            <w:vAlign w:val="center"/>
            <w:hideMark/>
          </w:tcPr>
          <w:p w14:paraId="10CAB663" w14:textId="77777777" w:rsidR="00C703E8" w:rsidRPr="00C22C47" w:rsidRDefault="00C703E8" w:rsidP="00C703E8">
            <w:pPr>
              <w:spacing w:before="0" w:after="0"/>
              <w:jc w:val="center"/>
              <w:rPr>
                <w:rFonts w:cstheme="minorHAnsi"/>
                <w:color w:val="000000" w:themeColor="text1"/>
                <w:sz w:val="19"/>
                <w:szCs w:val="19"/>
              </w:rPr>
            </w:pPr>
          </w:p>
        </w:tc>
        <w:tc>
          <w:tcPr>
            <w:tcW w:w="2587" w:type="pct"/>
            <w:shd w:val="clear" w:color="auto" w:fill="auto"/>
            <w:vAlign w:val="center"/>
            <w:hideMark/>
          </w:tcPr>
          <w:p w14:paraId="4BC3ABB6"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Indirect GHG Emissions (Other)</w:t>
            </w:r>
          </w:p>
        </w:tc>
        <w:tc>
          <w:tcPr>
            <w:tcW w:w="580" w:type="pct"/>
            <w:shd w:val="clear" w:color="auto" w:fill="auto"/>
            <w:vAlign w:val="center"/>
            <w:hideMark/>
          </w:tcPr>
          <w:p w14:paraId="2C9F445A"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13</w:t>
            </w:r>
          </w:p>
        </w:tc>
        <w:tc>
          <w:tcPr>
            <w:tcW w:w="441" w:type="pct"/>
            <w:shd w:val="clear" w:color="auto" w:fill="auto"/>
            <w:vAlign w:val="center"/>
            <w:hideMark/>
          </w:tcPr>
          <w:p w14:paraId="750E055D"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C03F8EF" w14:textId="77777777" w:rsidTr="004131E7">
        <w:trPr>
          <w:cantSplit/>
          <w:trHeight w:val="20"/>
        </w:trPr>
        <w:tc>
          <w:tcPr>
            <w:tcW w:w="622" w:type="pct"/>
            <w:vMerge/>
            <w:shd w:val="clear" w:color="auto" w:fill="auto"/>
            <w:vAlign w:val="center"/>
            <w:hideMark/>
          </w:tcPr>
          <w:p w14:paraId="6BDE6D0F"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shd w:val="clear" w:color="auto" w:fill="auto"/>
            <w:vAlign w:val="center"/>
            <w:hideMark/>
          </w:tcPr>
          <w:p w14:paraId="4F0ABA28" w14:textId="77777777" w:rsidR="00C703E8" w:rsidRPr="00C22C47" w:rsidRDefault="00C703E8" w:rsidP="00C703E8">
            <w:pPr>
              <w:spacing w:before="0" w:after="0"/>
              <w:jc w:val="center"/>
              <w:rPr>
                <w:rFonts w:cstheme="minorHAnsi"/>
                <w:color w:val="000000" w:themeColor="text1"/>
                <w:sz w:val="19"/>
                <w:szCs w:val="19"/>
              </w:rPr>
            </w:pPr>
          </w:p>
        </w:tc>
        <w:tc>
          <w:tcPr>
            <w:tcW w:w="2587" w:type="pct"/>
            <w:shd w:val="clear" w:color="auto" w:fill="auto"/>
            <w:vAlign w:val="center"/>
            <w:hideMark/>
          </w:tcPr>
          <w:p w14:paraId="699464F9"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GHG Intensity</w:t>
            </w:r>
          </w:p>
        </w:tc>
        <w:tc>
          <w:tcPr>
            <w:tcW w:w="580" w:type="pct"/>
            <w:shd w:val="clear" w:color="auto" w:fill="auto"/>
            <w:vAlign w:val="center"/>
            <w:hideMark/>
          </w:tcPr>
          <w:p w14:paraId="7CF2997E"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13</w:t>
            </w:r>
          </w:p>
        </w:tc>
        <w:tc>
          <w:tcPr>
            <w:tcW w:w="441" w:type="pct"/>
            <w:shd w:val="clear" w:color="auto" w:fill="auto"/>
            <w:vAlign w:val="center"/>
            <w:hideMark/>
          </w:tcPr>
          <w:p w14:paraId="01F76C57"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703E8" w:rsidRPr="00C22C47" w14:paraId="22D2F02E" w14:textId="77777777" w:rsidTr="004131E7">
        <w:trPr>
          <w:cantSplit/>
          <w:trHeight w:val="20"/>
        </w:trPr>
        <w:tc>
          <w:tcPr>
            <w:tcW w:w="622" w:type="pct"/>
            <w:vMerge/>
            <w:shd w:val="clear" w:color="auto" w:fill="auto"/>
            <w:vAlign w:val="center"/>
            <w:hideMark/>
          </w:tcPr>
          <w:p w14:paraId="0F71AC91" w14:textId="77777777" w:rsidR="00C703E8" w:rsidRPr="00C22C47" w:rsidRDefault="00C703E8" w:rsidP="00C703E8">
            <w:pPr>
              <w:spacing w:before="0" w:after="0"/>
              <w:jc w:val="center"/>
              <w:rPr>
                <w:rFonts w:cstheme="minorHAnsi"/>
                <w:color w:val="000000" w:themeColor="text1"/>
                <w:sz w:val="19"/>
                <w:szCs w:val="19"/>
              </w:rPr>
            </w:pPr>
          </w:p>
        </w:tc>
        <w:tc>
          <w:tcPr>
            <w:tcW w:w="770" w:type="pct"/>
            <w:vMerge/>
            <w:shd w:val="clear" w:color="auto" w:fill="auto"/>
            <w:vAlign w:val="center"/>
            <w:hideMark/>
          </w:tcPr>
          <w:p w14:paraId="16F5E294" w14:textId="77777777" w:rsidR="00C703E8" w:rsidRPr="00C22C47" w:rsidRDefault="00C703E8" w:rsidP="00C703E8">
            <w:pPr>
              <w:spacing w:before="0" w:after="0"/>
              <w:jc w:val="center"/>
              <w:rPr>
                <w:rFonts w:cstheme="minorHAnsi"/>
                <w:color w:val="000000" w:themeColor="text1"/>
                <w:sz w:val="19"/>
                <w:szCs w:val="19"/>
              </w:rPr>
            </w:pPr>
          </w:p>
        </w:tc>
        <w:tc>
          <w:tcPr>
            <w:tcW w:w="2587" w:type="pct"/>
            <w:shd w:val="clear" w:color="auto" w:fill="auto"/>
            <w:vAlign w:val="center"/>
            <w:hideMark/>
          </w:tcPr>
          <w:p w14:paraId="7201FCED"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GHG Reduction</w:t>
            </w:r>
          </w:p>
        </w:tc>
        <w:tc>
          <w:tcPr>
            <w:tcW w:w="580" w:type="pct"/>
            <w:shd w:val="clear" w:color="auto" w:fill="auto"/>
            <w:vAlign w:val="center"/>
            <w:hideMark/>
          </w:tcPr>
          <w:p w14:paraId="5150F849"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13</w:t>
            </w:r>
          </w:p>
        </w:tc>
        <w:tc>
          <w:tcPr>
            <w:tcW w:w="441" w:type="pct"/>
            <w:shd w:val="clear" w:color="auto" w:fill="auto"/>
            <w:vAlign w:val="center"/>
            <w:hideMark/>
          </w:tcPr>
          <w:p w14:paraId="2A51E535" w14:textId="77777777" w:rsidR="00C703E8" w:rsidRPr="00C22C47" w:rsidRDefault="00C703E8" w:rsidP="00C703E8">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bl>
    <w:p w14:paraId="66C2A59C" w14:textId="161484DC" w:rsidR="004131E7" w:rsidRPr="00C22C47" w:rsidRDefault="004131E7" w:rsidP="004131E7">
      <w:pPr>
        <w:pStyle w:val="Subtitle"/>
        <w:rPr>
          <w:i/>
          <w:iCs/>
          <w:color w:val="000000" w:themeColor="text1"/>
        </w:rPr>
      </w:pPr>
      <w:r w:rsidRPr="00C22C47">
        <w:rPr>
          <w:color w:val="000000" w:themeColor="text1"/>
        </w:rPr>
        <w:t xml:space="preserve">Table </w:t>
      </w:r>
      <w:r w:rsidRPr="00C22C47">
        <w:rPr>
          <w:color w:val="000000" w:themeColor="text1"/>
        </w:rPr>
        <w:fldChar w:fldCharType="begin"/>
      </w:r>
      <w:r w:rsidRPr="00C22C47">
        <w:rPr>
          <w:color w:val="000000" w:themeColor="text1"/>
        </w:rPr>
        <w:instrText xml:space="preserve"> SEQ Table \* ARABIC </w:instrText>
      </w:r>
      <w:r w:rsidRPr="00C22C47">
        <w:rPr>
          <w:color w:val="000000" w:themeColor="text1"/>
        </w:rPr>
        <w:fldChar w:fldCharType="separate"/>
      </w:r>
      <w:r>
        <w:rPr>
          <w:noProof/>
          <w:color w:val="000000" w:themeColor="text1"/>
        </w:rPr>
        <w:t>9</w:t>
      </w:r>
      <w:r w:rsidRPr="00C22C47">
        <w:rPr>
          <w:noProof/>
          <w:color w:val="000000" w:themeColor="text1"/>
        </w:rPr>
        <w:fldChar w:fldCharType="end"/>
      </w:r>
      <w:r w:rsidRPr="00C22C47">
        <w:rPr>
          <w:color w:val="000000" w:themeColor="text1"/>
        </w:rPr>
        <w:t>. SASB, GRI and SDG overlapping metrics</w:t>
      </w:r>
      <w:r>
        <w:rPr>
          <w:color w:val="000000" w:themeColor="text1"/>
        </w:rPr>
        <w:t xml:space="preserve"> with available metrics in literature for energy and hydrogen sustainability framework</w:t>
      </w:r>
      <w:r w:rsidRPr="00C22C47">
        <w:rPr>
          <w:color w:val="000000" w:themeColor="text1"/>
        </w:rPr>
        <w:t xml:space="preserve"> divided into major and subcategories under the broader </w:t>
      </w:r>
      <w:r>
        <w:rPr>
          <w:color w:val="000000" w:themeColor="text1"/>
        </w:rPr>
        <w:t>technical</w:t>
      </w:r>
      <w:r w:rsidRPr="00C22C47">
        <w:rPr>
          <w:color w:val="000000" w:themeColor="text1"/>
        </w:rPr>
        <w:t xml:space="preserve"> aspect. </w:t>
      </w:r>
    </w:p>
    <w:tbl>
      <w:tblPr>
        <w:tblW w:w="5000" w:type="pct"/>
        <w:tblLook w:val="04A0" w:firstRow="1" w:lastRow="0" w:firstColumn="1" w:lastColumn="0" w:noHBand="0" w:noVBand="1"/>
      </w:tblPr>
      <w:tblGrid>
        <w:gridCol w:w="1152"/>
        <w:gridCol w:w="1453"/>
        <w:gridCol w:w="4772"/>
        <w:gridCol w:w="1157"/>
        <w:gridCol w:w="826"/>
      </w:tblGrid>
      <w:tr w:rsidR="00C22C47" w:rsidRPr="00C22C47" w14:paraId="5B05068F" w14:textId="77777777" w:rsidTr="004131E7">
        <w:trPr>
          <w:cantSplit/>
          <w:trHeight w:val="20"/>
        </w:trPr>
        <w:tc>
          <w:tcPr>
            <w:tcW w:w="616" w:type="pct"/>
            <w:tcBorders>
              <w:top w:val="single" w:sz="4" w:space="0" w:color="auto"/>
              <w:bottom w:val="single" w:sz="4" w:space="0" w:color="auto"/>
            </w:tcBorders>
            <w:shd w:val="clear" w:color="auto" w:fill="auto"/>
            <w:vAlign w:val="center"/>
            <w:hideMark/>
          </w:tcPr>
          <w:p w14:paraId="631673C0" w14:textId="77777777" w:rsidR="00150D80" w:rsidRPr="00C22C47" w:rsidRDefault="00150D80" w:rsidP="000B5206">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Objective</w:t>
            </w:r>
          </w:p>
        </w:tc>
        <w:tc>
          <w:tcPr>
            <w:tcW w:w="776" w:type="pct"/>
            <w:tcBorders>
              <w:top w:val="single" w:sz="4" w:space="0" w:color="auto"/>
              <w:bottom w:val="single" w:sz="4" w:space="0" w:color="auto"/>
            </w:tcBorders>
            <w:shd w:val="clear" w:color="auto" w:fill="auto"/>
            <w:vAlign w:val="center"/>
            <w:hideMark/>
          </w:tcPr>
          <w:p w14:paraId="6F63751F" w14:textId="77777777" w:rsidR="00150D80" w:rsidRPr="00C22C47" w:rsidRDefault="00150D80" w:rsidP="000B5206">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Metric</w:t>
            </w:r>
          </w:p>
        </w:tc>
        <w:tc>
          <w:tcPr>
            <w:tcW w:w="2548" w:type="pct"/>
            <w:tcBorders>
              <w:top w:val="single" w:sz="4" w:space="0" w:color="auto"/>
              <w:bottom w:val="single" w:sz="4" w:space="0" w:color="auto"/>
            </w:tcBorders>
            <w:shd w:val="clear" w:color="auto" w:fill="auto"/>
            <w:vAlign w:val="center"/>
            <w:hideMark/>
          </w:tcPr>
          <w:p w14:paraId="55912770" w14:textId="77777777" w:rsidR="00150D80" w:rsidRPr="00C22C47" w:rsidRDefault="00150D80" w:rsidP="000B5206">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Sub-Metric</w:t>
            </w:r>
          </w:p>
        </w:tc>
        <w:tc>
          <w:tcPr>
            <w:tcW w:w="618" w:type="pct"/>
            <w:tcBorders>
              <w:top w:val="single" w:sz="4" w:space="0" w:color="auto"/>
              <w:bottom w:val="single" w:sz="4" w:space="0" w:color="auto"/>
            </w:tcBorders>
            <w:shd w:val="clear" w:color="auto" w:fill="auto"/>
            <w:vAlign w:val="center"/>
            <w:hideMark/>
          </w:tcPr>
          <w:p w14:paraId="3CA2D339" w14:textId="77777777" w:rsidR="00150D80" w:rsidRPr="00C22C47" w:rsidRDefault="00150D80" w:rsidP="000B5206">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SDG Goal</w:t>
            </w:r>
          </w:p>
        </w:tc>
        <w:tc>
          <w:tcPr>
            <w:tcW w:w="441" w:type="pct"/>
            <w:tcBorders>
              <w:top w:val="single" w:sz="4" w:space="0" w:color="auto"/>
              <w:bottom w:val="single" w:sz="4" w:space="0" w:color="auto"/>
            </w:tcBorders>
            <w:shd w:val="clear" w:color="auto" w:fill="auto"/>
            <w:vAlign w:val="center"/>
            <w:hideMark/>
          </w:tcPr>
          <w:p w14:paraId="4D8DFBE3" w14:textId="77777777" w:rsidR="00150D80" w:rsidRPr="00C22C47" w:rsidRDefault="00150D80" w:rsidP="000B5206">
            <w:pPr>
              <w:spacing w:before="0" w:after="0"/>
              <w:jc w:val="center"/>
              <w:rPr>
                <w:rFonts w:cstheme="minorHAnsi"/>
                <w:b/>
                <w:bCs/>
                <w:color w:val="000000" w:themeColor="text1"/>
                <w:sz w:val="19"/>
                <w:szCs w:val="19"/>
              </w:rPr>
            </w:pPr>
            <w:r w:rsidRPr="00C22C47">
              <w:rPr>
                <w:rFonts w:cstheme="minorHAnsi"/>
                <w:b/>
                <w:bCs/>
                <w:color w:val="000000" w:themeColor="text1"/>
                <w:sz w:val="19"/>
                <w:szCs w:val="19"/>
              </w:rPr>
              <w:t>Source</w:t>
            </w:r>
          </w:p>
        </w:tc>
      </w:tr>
      <w:tr w:rsidR="00C22C47" w:rsidRPr="00C22C47" w14:paraId="3C5B9C8C" w14:textId="77777777" w:rsidTr="004131E7">
        <w:trPr>
          <w:cantSplit/>
          <w:trHeight w:val="20"/>
        </w:trPr>
        <w:tc>
          <w:tcPr>
            <w:tcW w:w="616" w:type="pct"/>
            <w:vMerge w:val="restart"/>
            <w:tcBorders>
              <w:top w:val="single" w:sz="4" w:space="0" w:color="auto"/>
              <w:bottom w:val="single" w:sz="4" w:space="0" w:color="auto"/>
            </w:tcBorders>
            <w:shd w:val="clear" w:color="auto" w:fill="auto"/>
            <w:textDirection w:val="btLr"/>
            <w:vAlign w:val="center"/>
            <w:hideMark/>
          </w:tcPr>
          <w:p w14:paraId="50C3FFF2" w14:textId="60B9C87A" w:rsidR="00150D80" w:rsidRPr="00C22C47" w:rsidRDefault="00150D80" w:rsidP="00150D80">
            <w:pPr>
              <w:spacing w:before="0" w:after="0"/>
              <w:ind w:left="113" w:right="113"/>
              <w:jc w:val="center"/>
              <w:rPr>
                <w:rFonts w:cstheme="minorHAnsi"/>
                <w:color w:val="000000" w:themeColor="text1"/>
                <w:sz w:val="19"/>
                <w:szCs w:val="19"/>
              </w:rPr>
            </w:pPr>
            <w:r w:rsidRPr="00C22C47">
              <w:rPr>
                <w:rFonts w:cstheme="minorHAnsi"/>
                <w:color w:val="000000" w:themeColor="text1"/>
                <w:sz w:val="19"/>
                <w:szCs w:val="19"/>
              </w:rPr>
              <w:t>Technical</w:t>
            </w:r>
          </w:p>
        </w:tc>
        <w:tc>
          <w:tcPr>
            <w:tcW w:w="776" w:type="pct"/>
            <w:vMerge w:val="restart"/>
            <w:tcBorders>
              <w:top w:val="single" w:sz="4" w:space="0" w:color="auto"/>
            </w:tcBorders>
            <w:shd w:val="clear" w:color="auto" w:fill="auto"/>
            <w:vAlign w:val="center"/>
            <w:hideMark/>
          </w:tcPr>
          <w:p w14:paraId="0A3EC374" w14:textId="43CDCE43" w:rsidR="00150D80" w:rsidRPr="00C22C47" w:rsidRDefault="0076009A" w:rsidP="00150D80">
            <w:pPr>
              <w:spacing w:before="0" w:after="0"/>
              <w:jc w:val="center"/>
              <w:rPr>
                <w:rFonts w:cstheme="minorHAnsi"/>
                <w:color w:val="000000" w:themeColor="text1"/>
                <w:sz w:val="19"/>
                <w:szCs w:val="19"/>
              </w:rPr>
            </w:pPr>
            <w:hyperlink w:anchor="_Infrastructure_and_Capacity" w:history="1">
              <w:r w:rsidR="00150D80" w:rsidRPr="002621BB">
                <w:rPr>
                  <w:rStyle w:val="Hyperlink"/>
                  <w:rFonts w:cstheme="minorHAnsi"/>
                  <w:sz w:val="19"/>
                  <w:szCs w:val="19"/>
                </w:rPr>
                <w:t>Infrastructure and Capacity</w:t>
              </w:r>
            </w:hyperlink>
          </w:p>
        </w:tc>
        <w:tc>
          <w:tcPr>
            <w:tcW w:w="2548" w:type="pct"/>
            <w:tcBorders>
              <w:top w:val="single" w:sz="4" w:space="0" w:color="auto"/>
            </w:tcBorders>
            <w:shd w:val="clear" w:color="auto" w:fill="auto"/>
            <w:vAlign w:val="center"/>
            <w:hideMark/>
          </w:tcPr>
          <w:p w14:paraId="24DCF922"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Current Installed Capacity</w:t>
            </w:r>
          </w:p>
        </w:tc>
        <w:tc>
          <w:tcPr>
            <w:tcW w:w="618" w:type="pct"/>
            <w:tcBorders>
              <w:top w:val="single" w:sz="4" w:space="0" w:color="auto"/>
            </w:tcBorders>
            <w:shd w:val="clear" w:color="auto" w:fill="auto"/>
            <w:vAlign w:val="center"/>
            <w:hideMark/>
          </w:tcPr>
          <w:p w14:paraId="4C4E4579"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tcBorders>
              <w:top w:val="single" w:sz="4" w:space="0" w:color="auto"/>
            </w:tcBorders>
            <w:shd w:val="clear" w:color="auto" w:fill="auto"/>
            <w:vAlign w:val="center"/>
            <w:hideMark/>
          </w:tcPr>
          <w:p w14:paraId="71CC0EA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568E5420" w14:textId="77777777" w:rsidTr="004131E7">
        <w:trPr>
          <w:cantSplit/>
          <w:trHeight w:val="20"/>
        </w:trPr>
        <w:tc>
          <w:tcPr>
            <w:tcW w:w="616" w:type="pct"/>
            <w:vMerge/>
            <w:tcBorders>
              <w:bottom w:val="single" w:sz="4" w:space="0" w:color="auto"/>
            </w:tcBorders>
            <w:shd w:val="clear" w:color="auto" w:fill="auto"/>
            <w:vAlign w:val="center"/>
            <w:hideMark/>
          </w:tcPr>
          <w:p w14:paraId="21918C64"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67C39086"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548C475C"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Rated capacity</w:t>
            </w:r>
          </w:p>
        </w:tc>
        <w:tc>
          <w:tcPr>
            <w:tcW w:w="618" w:type="pct"/>
            <w:shd w:val="clear" w:color="auto" w:fill="auto"/>
            <w:vAlign w:val="center"/>
            <w:hideMark/>
          </w:tcPr>
          <w:p w14:paraId="249A76B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shd w:val="clear" w:color="auto" w:fill="auto"/>
            <w:vAlign w:val="center"/>
            <w:hideMark/>
          </w:tcPr>
          <w:p w14:paraId="54C9A366"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737F13B6" w14:textId="77777777" w:rsidTr="004131E7">
        <w:trPr>
          <w:cantSplit/>
          <w:trHeight w:val="20"/>
        </w:trPr>
        <w:tc>
          <w:tcPr>
            <w:tcW w:w="616" w:type="pct"/>
            <w:vMerge/>
            <w:tcBorders>
              <w:bottom w:val="single" w:sz="4" w:space="0" w:color="auto"/>
            </w:tcBorders>
            <w:shd w:val="clear" w:color="auto" w:fill="auto"/>
            <w:vAlign w:val="center"/>
            <w:hideMark/>
          </w:tcPr>
          <w:p w14:paraId="2D3E21D3"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43A45918"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12FAC576"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Compatibility with existing infrastructure</w:t>
            </w:r>
          </w:p>
        </w:tc>
        <w:tc>
          <w:tcPr>
            <w:tcW w:w="618" w:type="pct"/>
            <w:shd w:val="clear" w:color="auto" w:fill="auto"/>
            <w:vAlign w:val="center"/>
            <w:hideMark/>
          </w:tcPr>
          <w:p w14:paraId="39760E3E"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41" w:type="pct"/>
            <w:shd w:val="clear" w:color="auto" w:fill="auto"/>
            <w:vAlign w:val="center"/>
            <w:hideMark/>
          </w:tcPr>
          <w:p w14:paraId="010D3A37"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9180697" w14:textId="77777777" w:rsidTr="004131E7">
        <w:trPr>
          <w:cantSplit/>
          <w:trHeight w:val="20"/>
        </w:trPr>
        <w:tc>
          <w:tcPr>
            <w:tcW w:w="616" w:type="pct"/>
            <w:vMerge/>
            <w:tcBorders>
              <w:bottom w:val="single" w:sz="4" w:space="0" w:color="auto"/>
            </w:tcBorders>
            <w:shd w:val="clear" w:color="auto" w:fill="auto"/>
            <w:vAlign w:val="center"/>
            <w:hideMark/>
          </w:tcPr>
          <w:p w14:paraId="6D24351C"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211672A1"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75383CE9"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Availability of local skill and resources</w:t>
            </w:r>
          </w:p>
        </w:tc>
        <w:tc>
          <w:tcPr>
            <w:tcW w:w="618" w:type="pct"/>
            <w:shd w:val="clear" w:color="auto" w:fill="auto"/>
            <w:vAlign w:val="center"/>
            <w:hideMark/>
          </w:tcPr>
          <w:p w14:paraId="0985C037"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8</w:t>
            </w:r>
          </w:p>
        </w:tc>
        <w:tc>
          <w:tcPr>
            <w:tcW w:w="441" w:type="pct"/>
            <w:shd w:val="clear" w:color="auto" w:fill="auto"/>
            <w:vAlign w:val="center"/>
            <w:hideMark/>
          </w:tcPr>
          <w:p w14:paraId="6B2BC456"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12A1F597" w14:textId="77777777" w:rsidTr="004131E7">
        <w:trPr>
          <w:cantSplit/>
          <w:trHeight w:val="20"/>
        </w:trPr>
        <w:tc>
          <w:tcPr>
            <w:tcW w:w="616" w:type="pct"/>
            <w:vMerge/>
            <w:tcBorders>
              <w:bottom w:val="single" w:sz="4" w:space="0" w:color="auto"/>
            </w:tcBorders>
            <w:shd w:val="clear" w:color="auto" w:fill="auto"/>
            <w:vAlign w:val="center"/>
            <w:hideMark/>
          </w:tcPr>
          <w:p w14:paraId="79C17F55"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tcBorders>
              <w:bottom w:val="single" w:sz="4" w:space="0" w:color="auto"/>
            </w:tcBorders>
            <w:shd w:val="clear" w:color="auto" w:fill="auto"/>
            <w:vAlign w:val="center"/>
            <w:hideMark/>
          </w:tcPr>
          <w:p w14:paraId="0F3ECDBA" w14:textId="77777777" w:rsidR="00150D80" w:rsidRPr="00C22C47" w:rsidRDefault="00150D80" w:rsidP="00150D80">
            <w:pPr>
              <w:spacing w:before="0" w:after="0"/>
              <w:jc w:val="center"/>
              <w:rPr>
                <w:rFonts w:cstheme="minorHAnsi"/>
                <w:color w:val="000000" w:themeColor="text1"/>
                <w:sz w:val="19"/>
                <w:szCs w:val="19"/>
              </w:rPr>
            </w:pPr>
          </w:p>
        </w:tc>
        <w:tc>
          <w:tcPr>
            <w:tcW w:w="2548" w:type="pct"/>
            <w:tcBorders>
              <w:bottom w:val="single" w:sz="4" w:space="0" w:color="auto"/>
            </w:tcBorders>
            <w:shd w:val="clear" w:color="auto" w:fill="auto"/>
            <w:vAlign w:val="center"/>
            <w:hideMark/>
          </w:tcPr>
          <w:p w14:paraId="77671722"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Degree of local ownership</w:t>
            </w:r>
          </w:p>
        </w:tc>
        <w:tc>
          <w:tcPr>
            <w:tcW w:w="618" w:type="pct"/>
            <w:tcBorders>
              <w:bottom w:val="single" w:sz="4" w:space="0" w:color="auto"/>
            </w:tcBorders>
            <w:shd w:val="clear" w:color="auto" w:fill="auto"/>
            <w:vAlign w:val="center"/>
            <w:hideMark/>
          </w:tcPr>
          <w:p w14:paraId="48EF66E4"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17</w:t>
            </w:r>
          </w:p>
        </w:tc>
        <w:tc>
          <w:tcPr>
            <w:tcW w:w="441" w:type="pct"/>
            <w:tcBorders>
              <w:bottom w:val="single" w:sz="4" w:space="0" w:color="auto"/>
            </w:tcBorders>
            <w:shd w:val="clear" w:color="auto" w:fill="auto"/>
            <w:vAlign w:val="center"/>
            <w:hideMark/>
          </w:tcPr>
          <w:p w14:paraId="234B1644"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354BE6BE" w14:textId="77777777" w:rsidTr="004131E7">
        <w:trPr>
          <w:cantSplit/>
          <w:trHeight w:val="20"/>
        </w:trPr>
        <w:tc>
          <w:tcPr>
            <w:tcW w:w="616" w:type="pct"/>
            <w:vMerge/>
            <w:tcBorders>
              <w:bottom w:val="single" w:sz="4" w:space="0" w:color="auto"/>
            </w:tcBorders>
            <w:shd w:val="clear" w:color="auto" w:fill="auto"/>
            <w:vAlign w:val="center"/>
            <w:hideMark/>
          </w:tcPr>
          <w:p w14:paraId="6A574EE3"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val="restart"/>
            <w:tcBorders>
              <w:top w:val="single" w:sz="4" w:space="0" w:color="auto"/>
            </w:tcBorders>
            <w:shd w:val="clear" w:color="auto" w:fill="auto"/>
            <w:vAlign w:val="center"/>
            <w:hideMark/>
          </w:tcPr>
          <w:p w14:paraId="327A3AAD" w14:textId="1F10AC6E" w:rsidR="00150D80" w:rsidRPr="00C22C47" w:rsidRDefault="0076009A" w:rsidP="00150D80">
            <w:pPr>
              <w:spacing w:before="0" w:after="0"/>
              <w:jc w:val="center"/>
              <w:rPr>
                <w:rFonts w:cstheme="minorHAnsi"/>
                <w:color w:val="000000" w:themeColor="text1"/>
                <w:sz w:val="19"/>
                <w:szCs w:val="19"/>
              </w:rPr>
            </w:pPr>
            <w:hyperlink w:anchor="_Efficiency_and_Performance" w:history="1">
              <w:r w:rsidR="00150D80" w:rsidRPr="002621BB">
                <w:rPr>
                  <w:rStyle w:val="Hyperlink"/>
                  <w:rFonts w:cstheme="minorHAnsi"/>
                  <w:sz w:val="19"/>
                  <w:szCs w:val="19"/>
                </w:rPr>
                <w:t>Efficiency and Performance</w:t>
              </w:r>
            </w:hyperlink>
          </w:p>
        </w:tc>
        <w:tc>
          <w:tcPr>
            <w:tcW w:w="2548" w:type="pct"/>
            <w:tcBorders>
              <w:top w:val="single" w:sz="4" w:space="0" w:color="auto"/>
            </w:tcBorders>
            <w:shd w:val="clear" w:color="auto" w:fill="auto"/>
            <w:vAlign w:val="center"/>
            <w:hideMark/>
          </w:tcPr>
          <w:p w14:paraId="1629BB05"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Conversion system efficiency</w:t>
            </w:r>
          </w:p>
        </w:tc>
        <w:tc>
          <w:tcPr>
            <w:tcW w:w="618" w:type="pct"/>
            <w:tcBorders>
              <w:top w:val="single" w:sz="4" w:space="0" w:color="auto"/>
            </w:tcBorders>
            <w:shd w:val="clear" w:color="auto" w:fill="auto"/>
            <w:vAlign w:val="center"/>
            <w:hideMark/>
          </w:tcPr>
          <w:p w14:paraId="59F85CD2"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tcBorders>
              <w:top w:val="single" w:sz="4" w:space="0" w:color="auto"/>
            </w:tcBorders>
            <w:shd w:val="clear" w:color="auto" w:fill="auto"/>
            <w:vAlign w:val="center"/>
            <w:hideMark/>
          </w:tcPr>
          <w:p w14:paraId="280DD25C"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64C5565A" w14:textId="77777777" w:rsidTr="004131E7">
        <w:trPr>
          <w:cantSplit/>
          <w:trHeight w:val="20"/>
        </w:trPr>
        <w:tc>
          <w:tcPr>
            <w:tcW w:w="616" w:type="pct"/>
            <w:vMerge/>
            <w:tcBorders>
              <w:bottom w:val="single" w:sz="4" w:space="0" w:color="auto"/>
            </w:tcBorders>
            <w:shd w:val="clear" w:color="auto" w:fill="auto"/>
            <w:vAlign w:val="center"/>
            <w:hideMark/>
          </w:tcPr>
          <w:p w14:paraId="3BDFE043"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16AB50FF"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454EF445"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Distribution system efficiency</w:t>
            </w:r>
          </w:p>
        </w:tc>
        <w:tc>
          <w:tcPr>
            <w:tcW w:w="618" w:type="pct"/>
            <w:shd w:val="clear" w:color="auto" w:fill="auto"/>
            <w:vAlign w:val="center"/>
            <w:hideMark/>
          </w:tcPr>
          <w:p w14:paraId="00FDC64C"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shd w:val="clear" w:color="auto" w:fill="auto"/>
            <w:vAlign w:val="center"/>
            <w:hideMark/>
          </w:tcPr>
          <w:p w14:paraId="22AD132C"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1BED32DA" w14:textId="77777777" w:rsidTr="004131E7">
        <w:trPr>
          <w:cantSplit/>
          <w:trHeight w:val="20"/>
        </w:trPr>
        <w:tc>
          <w:tcPr>
            <w:tcW w:w="616" w:type="pct"/>
            <w:vMerge/>
            <w:tcBorders>
              <w:bottom w:val="single" w:sz="4" w:space="0" w:color="auto"/>
            </w:tcBorders>
            <w:shd w:val="clear" w:color="auto" w:fill="auto"/>
            <w:vAlign w:val="center"/>
            <w:hideMark/>
          </w:tcPr>
          <w:p w14:paraId="018E9819"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566DA756"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47B9672F"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System Efficiency</w:t>
            </w:r>
          </w:p>
        </w:tc>
        <w:tc>
          <w:tcPr>
            <w:tcW w:w="618" w:type="pct"/>
            <w:shd w:val="clear" w:color="auto" w:fill="auto"/>
            <w:vAlign w:val="center"/>
            <w:hideMark/>
          </w:tcPr>
          <w:p w14:paraId="2EB84C51"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shd w:val="clear" w:color="auto" w:fill="auto"/>
            <w:vAlign w:val="center"/>
            <w:hideMark/>
          </w:tcPr>
          <w:p w14:paraId="6F549BE2"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28B7A333" w14:textId="77777777" w:rsidTr="004131E7">
        <w:trPr>
          <w:cantSplit/>
          <w:trHeight w:val="20"/>
        </w:trPr>
        <w:tc>
          <w:tcPr>
            <w:tcW w:w="616" w:type="pct"/>
            <w:vMerge/>
            <w:tcBorders>
              <w:bottom w:val="single" w:sz="4" w:space="0" w:color="auto"/>
            </w:tcBorders>
            <w:shd w:val="clear" w:color="auto" w:fill="auto"/>
            <w:vAlign w:val="center"/>
            <w:hideMark/>
          </w:tcPr>
          <w:p w14:paraId="75C49182"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110F30E6"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0ED3A706"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Capacity Factor</w:t>
            </w:r>
          </w:p>
        </w:tc>
        <w:tc>
          <w:tcPr>
            <w:tcW w:w="618" w:type="pct"/>
            <w:shd w:val="clear" w:color="auto" w:fill="auto"/>
            <w:vAlign w:val="center"/>
            <w:hideMark/>
          </w:tcPr>
          <w:p w14:paraId="68BB3EE2"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shd w:val="clear" w:color="auto" w:fill="auto"/>
            <w:vAlign w:val="center"/>
            <w:hideMark/>
          </w:tcPr>
          <w:p w14:paraId="72685CA9"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303593A6" w14:textId="77777777" w:rsidTr="004131E7">
        <w:trPr>
          <w:cantSplit/>
          <w:trHeight w:val="20"/>
        </w:trPr>
        <w:tc>
          <w:tcPr>
            <w:tcW w:w="616" w:type="pct"/>
            <w:vMerge/>
            <w:tcBorders>
              <w:bottom w:val="single" w:sz="4" w:space="0" w:color="auto"/>
            </w:tcBorders>
            <w:shd w:val="clear" w:color="auto" w:fill="auto"/>
            <w:vAlign w:val="center"/>
            <w:hideMark/>
          </w:tcPr>
          <w:p w14:paraId="27FCB345"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tcBorders>
              <w:bottom w:val="single" w:sz="4" w:space="0" w:color="auto"/>
            </w:tcBorders>
            <w:shd w:val="clear" w:color="auto" w:fill="auto"/>
            <w:vAlign w:val="center"/>
            <w:hideMark/>
          </w:tcPr>
          <w:p w14:paraId="24762C72" w14:textId="77777777" w:rsidR="00150D80" w:rsidRPr="00C22C47" w:rsidRDefault="00150D80" w:rsidP="00150D80">
            <w:pPr>
              <w:spacing w:before="0" w:after="0"/>
              <w:jc w:val="center"/>
              <w:rPr>
                <w:rFonts w:cstheme="minorHAnsi"/>
                <w:color w:val="000000" w:themeColor="text1"/>
                <w:sz w:val="19"/>
                <w:szCs w:val="19"/>
              </w:rPr>
            </w:pPr>
          </w:p>
        </w:tc>
        <w:tc>
          <w:tcPr>
            <w:tcW w:w="2548" w:type="pct"/>
            <w:tcBorders>
              <w:bottom w:val="single" w:sz="4" w:space="0" w:color="auto"/>
            </w:tcBorders>
            <w:shd w:val="clear" w:color="auto" w:fill="auto"/>
            <w:vAlign w:val="center"/>
            <w:hideMark/>
          </w:tcPr>
          <w:p w14:paraId="6493C4BD"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Scalability</w:t>
            </w:r>
          </w:p>
        </w:tc>
        <w:tc>
          <w:tcPr>
            <w:tcW w:w="618" w:type="pct"/>
            <w:tcBorders>
              <w:bottom w:val="single" w:sz="4" w:space="0" w:color="auto"/>
            </w:tcBorders>
            <w:shd w:val="clear" w:color="auto" w:fill="auto"/>
            <w:vAlign w:val="center"/>
            <w:hideMark/>
          </w:tcPr>
          <w:p w14:paraId="13EF70C3"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41" w:type="pct"/>
            <w:tcBorders>
              <w:bottom w:val="single" w:sz="4" w:space="0" w:color="auto"/>
            </w:tcBorders>
            <w:shd w:val="clear" w:color="auto" w:fill="auto"/>
            <w:vAlign w:val="center"/>
            <w:hideMark/>
          </w:tcPr>
          <w:p w14:paraId="63C5A41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24413F0E" w14:textId="77777777" w:rsidTr="004131E7">
        <w:trPr>
          <w:cantSplit/>
          <w:trHeight w:val="20"/>
        </w:trPr>
        <w:tc>
          <w:tcPr>
            <w:tcW w:w="616" w:type="pct"/>
            <w:vMerge/>
            <w:tcBorders>
              <w:bottom w:val="single" w:sz="4" w:space="0" w:color="auto"/>
            </w:tcBorders>
            <w:shd w:val="clear" w:color="auto" w:fill="auto"/>
            <w:vAlign w:val="center"/>
            <w:hideMark/>
          </w:tcPr>
          <w:p w14:paraId="126E1A1B"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val="restart"/>
            <w:tcBorders>
              <w:top w:val="single" w:sz="4" w:space="0" w:color="auto"/>
            </w:tcBorders>
            <w:shd w:val="clear" w:color="auto" w:fill="auto"/>
            <w:vAlign w:val="center"/>
            <w:hideMark/>
          </w:tcPr>
          <w:p w14:paraId="24EC2646" w14:textId="6E7DB8E5" w:rsidR="00150D80" w:rsidRPr="00C22C47" w:rsidRDefault="0076009A" w:rsidP="00150D80">
            <w:pPr>
              <w:spacing w:before="0" w:after="0"/>
              <w:jc w:val="center"/>
              <w:rPr>
                <w:rFonts w:cstheme="minorHAnsi"/>
                <w:color w:val="000000" w:themeColor="text1"/>
                <w:sz w:val="19"/>
                <w:szCs w:val="19"/>
              </w:rPr>
            </w:pPr>
            <w:hyperlink w:anchor="_Technology_Readiness" w:history="1">
              <w:r w:rsidR="00150D80" w:rsidRPr="002621BB">
                <w:rPr>
                  <w:rStyle w:val="Hyperlink"/>
                  <w:rFonts w:cstheme="minorHAnsi"/>
                  <w:sz w:val="19"/>
                  <w:szCs w:val="19"/>
                </w:rPr>
                <w:t>Technology Readiness</w:t>
              </w:r>
            </w:hyperlink>
          </w:p>
        </w:tc>
        <w:tc>
          <w:tcPr>
            <w:tcW w:w="2548" w:type="pct"/>
            <w:tcBorders>
              <w:top w:val="single" w:sz="4" w:space="0" w:color="auto"/>
            </w:tcBorders>
            <w:shd w:val="clear" w:color="auto" w:fill="auto"/>
            <w:vAlign w:val="center"/>
            <w:hideMark/>
          </w:tcPr>
          <w:p w14:paraId="12850235"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Technology Readiness Level (TRL)</w:t>
            </w:r>
          </w:p>
        </w:tc>
        <w:tc>
          <w:tcPr>
            <w:tcW w:w="618" w:type="pct"/>
            <w:tcBorders>
              <w:top w:val="single" w:sz="4" w:space="0" w:color="auto"/>
            </w:tcBorders>
            <w:shd w:val="clear" w:color="auto" w:fill="auto"/>
            <w:vAlign w:val="center"/>
            <w:hideMark/>
          </w:tcPr>
          <w:p w14:paraId="13B25644"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41" w:type="pct"/>
            <w:tcBorders>
              <w:top w:val="single" w:sz="4" w:space="0" w:color="auto"/>
            </w:tcBorders>
            <w:shd w:val="clear" w:color="auto" w:fill="auto"/>
            <w:vAlign w:val="center"/>
            <w:hideMark/>
          </w:tcPr>
          <w:p w14:paraId="3BA42C38"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2AC05F25" w14:textId="77777777" w:rsidTr="004131E7">
        <w:trPr>
          <w:cantSplit/>
          <w:trHeight w:val="20"/>
        </w:trPr>
        <w:tc>
          <w:tcPr>
            <w:tcW w:w="616" w:type="pct"/>
            <w:vMerge/>
            <w:tcBorders>
              <w:bottom w:val="single" w:sz="4" w:space="0" w:color="auto"/>
            </w:tcBorders>
            <w:shd w:val="clear" w:color="auto" w:fill="auto"/>
            <w:vAlign w:val="center"/>
            <w:hideMark/>
          </w:tcPr>
          <w:p w14:paraId="761CC656"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tcBorders>
              <w:bottom w:val="single" w:sz="4" w:space="0" w:color="auto"/>
            </w:tcBorders>
            <w:shd w:val="clear" w:color="auto" w:fill="auto"/>
            <w:vAlign w:val="center"/>
            <w:hideMark/>
          </w:tcPr>
          <w:p w14:paraId="48F1D1AB" w14:textId="77777777" w:rsidR="00150D80" w:rsidRPr="00C22C47" w:rsidRDefault="00150D80" w:rsidP="00150D80">
            <w:pPr>
              <w:spacing w:before="0" w:after="0"/>
              <w:jc w:val="center"/>
              <w:rPr>
                <w:rFonts w:cstheme="minorHAnsi"/>
                <w:color w:val="000000" w:themeColor="text1"/>
                <w:sz w:val="19"/>
                <w:szCs w:val="19"/>
              </w:rPr>
            </w:pPr>
          </w:p>
        </w:tc>
        <w:tc>
          <w:tcPr>
            <w:tcW w:w="2548" w:type="pct"/>
            <w:tcBorders>
              <w:bottom w:val="single" w:sz="4" w:space="0" w:color="auto"/>
            </w:tcBorders>
            <w:shd w:val="clear" w:color="auto" w:fill="auto"/>
            <w:vAlign w:val="center"/>
            <w:hideMark/>
          </w:tcPr>
          <w:p w14:paraId="000573DA" w14:textId="0D971CC6" w:rsidR="00150D80" w:rsidRPr="00C22C47" w:rsidRDefault="00000CDE"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Localizing technology and technical knowledge</w:t>
            </w:r>
          </w:p>
        </w:tc>
        <w:tc>
          <w:tcPr>
            <w:tcW w:w="618" w:type="pct"/>
            <w:tcBorders>
              <w:bottom w:val="single" w:sz="4" w:space="0" w:color="auto"/>
            </w:tcBorders>
            <w:shd w:val="clear" w:color="auto" w:fill="auto"/>
            <w:vAlign w:val="center"/>
            <w:hideMark/>
          </w:tcPr>
          <w:p w14:paraId="6C3A26C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41" w:type="pct"/>
            <w:tcBorders>
              <w:bottom w:val="single" w:sz="4" w:space="0" w:color="auto"/>
            </w:tcBorders>
            <w:shd w:val="clear" w:color="auto" w:fill="auto"/>
            <w:vAlign w:val="center"/>
            <w:hideMark/>
          </w:tcPr>
          <w:p w14:paraId="0DEF2739"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5AA1E923" w14:textId="77777777" w:rsidTr="004131E7">
        <w:trPr>
          <w:cantSplit/>
          <w:trHeight w:val="20"/>
        </w:trPr>
        <w:tc>
          <w:tcPr>
            <w:tcW w:w="616" w:type="pct"/>
            <w:vMerge/>
            <w:tcBorders>
              <w:bottom w:val="single" w:sz="4" w:space="0" w:color="auto"/>
            </w:tcBorders>
            <w:shd w:val="clear" w:color="auto" w:fill="auto"/>
            <w:vAlign w:val="center"/>
            <w:hideMark/>
          </w:tcPr>
          <w:p w14:paraId="310ED314"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val="restart"/>
            <w:tcBorders>
              <w:top w:val="single" w:sz="4" w:space="0" w:color="auto"/>
            </w:tcBorders>
            <w:shd w:val="clear" w:color="auto" w:fill="auto"/>
            <w:vAlign w:val="center"/>
            <w:hideMark/>
          </w:tcPr>
          <w:p w14:paraId="20C4686E" w14:textId="584C1BAD" w:rsidR="00150D80" w:rsidRPr="00C22C47" w:rsidRDefault="0076009A" w:rsidP="00150D80">
            <w:pPr>
              <w:spacing w:before="0" w:after="0"/>
              <w:jc w:val="center"/>
              <w:rPr>
                <w:rFonts w:cstheme="minorHAnsi"/>
                <w:color w:val="000000" w:themeColor="text1"/>
                <w:sz w:val="19"/>
                <w:szCs w:val="19"/>
              </w:rPr>
            </w:pPr>
            <w:hyperlink w:anchor="_Technology_Readiness" w:history="1">
              <w:r w:rsidR="00150D80" w:rsidRPr="002621BB">
                <w:rPr>
                  <w:rStyle w:val="Hyperlink"/>
                  <w:rFonts w:cstheme="minorHAnsi"/>
                  <w:sz w:val="19"/>
                  <w:szCs w:val="19"/>
                </w:rPr>
                <w:t>Safety and Risk Management</w:t>
              </w:r>
            </w:hyperlink>
          </w:p>
        </w:tc>
        <w:tc>
          <w:tcPr>
            <w:tcW w:w="2548" w:type="pct"/>
            <w:tcBorders>
              <w:top w:val="single" w:sz="4" w:space="0" w:color="auto"/>
            </w:tcBorders>
            <w:shd w:val="clear" w:color="auto" w:fill="auto"/>
            <w:vAlign w:val="center"/>
            <w:hideMark/>
          </w:tcPr>
          <w:p w14:paraId="29E70659"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Safety</w:t>
            </w:r>
          </w:p>
        </w:tc>
        <w:tc>
          <w:tcPr>
            <w:tcW w:w="618" w:type="pct"/>
            <w:tcBorders>
              <w:top w:val="single" w:sz="4" w:space="0" w:color="auto"/>
            </w:tcBorders>
            <w:shd w:val="clear" w:color="auto" w:fill="auto"/>
            <w:vAlign w:val="center"/>
            <w:hideMark/>
          </w:tcPr>
          <w:p w14:paraId="1EEB5BA0"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16</w:t>
            </w:r>
          </w:p>
        </w:tc>
        <w:tc>
          <w:tcPr>
            <w:tcW w:w="441" w:type="pct"/>
            <w:tcBorders>
              <w:top w:val="single" w:sz="4" w:space="0" w:color="auto"/>
            </w:tcBorders>
            <w:shd w:val="clear" w:color="auto" w:fill="auto"/>
            <w:vAlign w:val="center"/>
            <w:hideMark/>
          </w:tcPr>
          <w:p w14:paraId="4626D40E"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4C7B98F8" w14:textId="77777777" w:rsidTr="004131E7">
        <w:trPr>
          <w:cantSplit/>
          <w:trHeight w:val="20"/>
        </w:trPr>
        <w:tc>
          <w:tcPr>
            <w:tcW w:w="616" w:type="pct"/>
            <w:vMerge/>
            <w:tcBorders>
              <w:bottom w:val="single" w:sz="4" w:space="0" w:color="auto"/>
            </w:tcBorders>
            <w:shd w:val="clear" w:color="auto" w:fill="auto"/>
            <w:vAlign w:val="center"/>
            <w:hideMark/>
          </w:tcPr>
          <w:p w14:paraId="1079CB92"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2B834A13"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66BD90E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Risk</w:t>
            </w:r>
          </w:p>
        </w:tc>
        <w:tc>
          <w:tcPr>
            <w:tcW w:w="618" w:type="pct"/>
            <w:shd w:val="clear" w:color="auto" w:fill="auto"/>
            <w:vAlign w:val="center"/>
            <w:hideMark/>
          </w:tcPr>
          <w:p w14:paraId="116D754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16</w:t>
            </w:r>
          </w:p>
        </w:tc>
        <w:tc>
          <w:tcPr>
            <w:tcW w:w="441" w:type="pct"/>
            <w:shd w:val="clear" w:color="auto" w:fill="auto"/>
            <w:vAlign w:val="center"/>
            <w:hideMark/>
          </w:tcPr>
          <w:p w14:paraId="2F3983A2"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4E10935" w14:textId="77777777" w:rsidTr="004131E7">
        <w:trPr>
          <w:cantSplit/>
          <w:trHeight w:val="20"/>
        </w:trPr>
        <w:tc>
          <w:tcPr>
            <w:tcW w:w="616" w:type="pct"/>
            <w:vMerge/>
            <w:tcBorders>
              <w:bottom w:val="single" w:sz="4" w:space="0" w:color="auto"/>
            </w:tcBorders>
            <w:shd w:val="clear" w:color="auto" w:fill="auto"/>
            <w:vAlign w:val="center"/>
            <w:hideMark/>
          </w:tcPr>
          <w:p w14:paraId="3CA847FF"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1EDEDCAD"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66C4A6EC"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Safety of devices and technology</w:t>
            </w:r>
          </w:p>
        </w:tc>
        <w:tc>
          <w:tcPr>
            <w:tcW w:w="618" w:type="pct"/>
            <w:shd w:val="clear" w:color="auto" w:fill="auto"/>
            <w:vAlign w:val="center"/>
            <w:hideMark/>
          </w:tcPr>
          <w:p w14:paraId="21448FEA"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9</w:t>
            </w:r>
          </w:p>
        </w:tc>
        <w:tc>
          <w:tcPr>
            <w:tcW w:w="441" w:type="pct"/>
            <w:shd w:val="clear" w:color="auto" w:fill="auto"/>
            <w:vAlign w:val="center"/>
            <w:hideMark/>
          </w:tcPr>
          <w:p w14:paraId="5E51D83A"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0A05AE21" w14:textId="77777777" w:rsidTr="004131E7">
        <w:trPr>
          <w:cantSplit/>
          <w:trHeight w:val="20"/>
        </w:trPr>
        <w:tc>
          <w:tcPr>
            <w:tcW w:w="616" w:type="pct"/>
            <w:vMerge/>
            <w:tcBorders>
              <w:bottom w:val="single" w:sz="4" w:space="0" w:color="auto"/>
            </w:tcBorders>
            <w:shd w:val="clear" w:color="auto" w:fill="auto"/>
            <w:vAlign w:val="center"/>
            <w:hideMark/>
          </w:tcPr>
          <w:p w14:paraId="482AEB74"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319799A2"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1FEDA330"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Compliance with international obligations</w:t>
            </w:r>
          </w:p>
        </w:tc>
        <w:tc>
          <w:tcPr>
            <w:tcW w:w="618" w:type="pct"/>
            <w:shd w:val="clear" w:color="auto" w:fill="auto"/>
            <w:vAlign w:val="center"/>
            <w:hideMark/>
          </w:tcPr>
          <w:p w14:paraId="7A9A18EA"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16</w:t>
            </w:r>
          </w:p>
        </w:tc>
        <w:tc>
          <w:tcPr>
            <w:tcW w:w="441" w:type="pct"/>
            <w:shd w:val="clear" w:color="auto" w:fill="auto"/>
            <w:vAlign w:val="center"/>
            <w:hideMark/>
          </w:tcPr>
          <w:p w14:paraId="04BAB6D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42835AFC" w14:textId="77777777" w:rsidTr="004131E7">
        <w:trPr>
          <w:cantSplit/>
          <w:trHeight w:val="20"/>
        </w:trPr>
        <w:tc>
          <w:tcPr>
            <w:tcW w:w="616" w:type="pct"/>
            <w:vMerge/>
            <w:tcBorders>
              <w:bottom w:val="single" w:sz="4" w:space="0" w:color="auto"/>
            </w:tcBorders>
            <w:shd w:val="clear" w:color="auto" w:fill="auto"/>
            <w:vAlign w:val="center"/>
            <w:hideMark/>
          </w:tcPr>
          <w:p w14:paraId="16F5CECE"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tcBorders>
              <w:bottom w:val="single" w:sz="4" w:space="0" w:color="auto"/>
            </w:tcBorders>
            <w:shd w:val="clear" w:color="auto" w:fill="auto"/>
            <w:vAlign w:val="center"/>
            <w:hideMark/>
          </w:tcPr>
          <w:p w14:paraId="6F0B6BC1" w14:textId="77777777" w:rsidR="00150D80" w:rsidRPr="00C22C47" w:rsidRDefault="00150D80" w:rsidP="00150D80">
            <w:pPr>
              <w:spacing w:before="0" w:after="0"/>
              <w:jc w:val="center"/>
              <w:rPr>
                <w:rFonts w:cstheme="minorHAnsi"/>
                <w:color w:val="000000" w:themeColor="text1"/>
                <w:sz w:val="19"/>
                <w:szCs w:val="19"/>
              </w:rPr>
            </w:pPr>
          </w:p>
        </w:tc>
        <w:tc>
          <w:tcPr>
            <w:tcW w:w="2548" w:type="pct"/>
            <w:tcBorders>
              <w:bottom w:val="single" w:sz="4" w:space="0" w:color="auto"/>
            </w:tcBorders>
            <w:shd w:val="clear" w:color="auto" w:fill="auto"/>
            <w:vAlign w:val="center"/>
            <w:hideMark/>
          </w:tcPr>
          <w:p w14:paraId="2431D0CA"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Legal regulation of activities</w:t>
            </w:r>
          </w:p>
        </w:tc>
        <w:tc>
          <w:tcPr>
            <w:tcW w:w="618" w:type="pct"/>
            <w:tcBorders>
              <w:bottom w:val="single" w:sz="4" w:space="0" w:color="auto"/>
            </w:tcBorders>
            <w:shd w:val="clear" w:color="auto" w:fill="auto"/>
            <w:vAlign w:val="center"/>
            <w:hideMark/>
          </w:tcPr>
          <w:p w14:paraId="26238AA9"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16</w:t>
            </w:r>
          </w:p>
        </w:tc>
        <w:tc>
          <w:tcPr>
            <w:tcW w:w="441" w:type="pct"/>
            <w:tcBorders>
              <w:bottom w:val="single" w:sz="4" w:space="0" w:color="auto"/>
            </w:tcBorders>
            <w:shd w:val="clear" w:color="auto" w:fill="auto"/>
            <w:vAlign w:val="center"/>
            <w:hideMark/>
          </w:tcPr>
          <w:p w14:paraId="3C8B2E7E"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6711E1CD" w14:textId="77777777" w:rsidTr="004131E7">
        <w:trPr>
          <w:cantSplit/>
          <w:trHeight w:val="20"/>
        </w:trPr>
        <w:tc>
          <w:tcPr>
            <w:tcW w:w="616" w:type="pct"/>
            <w:vMerge/>
            <w:tcBorders>
              <w:bottom w:val="single" w:sz="4" w:space="0" w:color="auto"/>
            </w:tcBorders>
            <w:shd w:val="clear" w:color="auto" w:fill="auto"/>
            <w:vAlign w:val="center"/>
            <w:hideMark/>
          </w:tcPr>
          <w:p w14:paraId="44464CC3"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val="restart"/>
            <w:tcBorders>
              <w:top w:val="single" w:sz="4" w:space="0" w:color="auto"/>
            </w:tcBorders>
            <w:shd w:val="clear" w:color="auto" w:fill="auto"/>
            <w:vAlign w:val="center"/>
            <w:hideMark/>
          </w:tcPr>
          <w:p w14:paraId="57FBBF29" w14:textId="1E69D106" w:rsidR="00150D80" w:rsidRPr="00C22C47" w:rsidRDefault="0076009A" w:rsidP="00150D80">
            <w:pPr>
              <w:spacing w:before="0" w:after="0"/>
              <w:jc w:val="center"/>
              <w:rPr>
                <w:rFonts w:cstheme="minorHAnsi"/>
                <w:color w:val="000000" w:themeColor="text1"/>
                <w:sz w:val="19"/>
                <w:szCs w:val="19"/>
              </w:rPr>
            </w:pPr>
            <w:hyperlink w:anchor="_Availability_and_Reliability" w:history="1">
              <w:r w:rsidR="00150D80" w:rsidRPr="002621BB">
                <w:rPr>
                  <w:rStyle w:val="Hyperlink"/>
                  <w:rFonts w:cstheme="minorHAnsi"/>
                  <w:sz w:val="19"/>
                  <w:szCs w:val="19"/>
                </w:rPr>
                <w:t>Availability and Reliability</w:t>
              </w:r>
            </w:hyperlink>
          </w:p>
        </w:tc>
        <w:tc>
          <w:tcPr>
            <w:tcW w:w="2548" w:type="pct"/>
            <w:tcBorders>
              <w:top w:val="single" w:sz="4" w:space="0" w:color="auto"/>
            </w:tcBorders>
            <w:shd w:val="clear" w:color="auto" w:fill="auto"/>
            <w:vAlign w:val="center"/>
            <w:hideMark/>
          </w:tcPr>
          <w:p w14:paraId="6FE17E6E"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Lifetime and reliability of systems</w:t>
            </w:r>
          </w:p>
        </w:tc>
        <w:tc>
          <w:tcPr>
            <w:tcW w:w="618" w:type="pct"/>
            <w:tcBorders>
              <w:top w:val="single" w:sz="4" w:space="0" w:color="auto"/>
            </w:tcBorders>
            <w:shd w:val="clear" w:color="auto" w:fill="auto"/>
            <w:vAlign w:val="center"/>
            <w:hideMark/>
          </w:tcPr>
          <w:p w14:paraId="38BC2970"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tcBorders>
              <w:top w:val="single" w:sz="4" w:space="0" w:color="auto"/>
            </w:tcBorders>
            <w:shd w:val="clear" w:color="auto" w:fill="auto"/>
            <w:vAlign w:val="center"/>
            <w:hideMark/>
          </w:tcPr>
          <w:p w14:paraId="258E81AF"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5C768E3D" w14:textId="77777777" w:rsidTr="004131E7">
        <w:trPr>
          <w:cantSplit/>
          <w:trHeight w:val="20"/>
        </w:trPr>
        <w:tc>
          <w:tcPr>
            <w:tcW w:w="616" w:type="pct"/>
            <w:vMerge/>
            <w:tcBorders>
              <w:bottom w:val="single" w:sz="4" w:space="0" w:color="auto"/>
            </w:tcBorders>
            <w:shd w:val="clear" w:color="auto" w:fill="auto"/>
            <w:vAlign w:val="center"/>
            <w:hideMark/>
          </w:tcPr>
          <w:p w14:paraId="34105D66"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72DBE96B"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7996A621"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Annual resource availability duration</w:t>
            </w:r>
          </w:p>
        </w:tc>
        <w:tc>
          <w:tcPr>
            <w:tcW w:w="618" w:type="pct"/>
            <w:shd w:val="clear" w:color="auto" w:fill="auto"/>
            <w:vAlign w:val="center"/>
            <w:hideMark/>
          </w:tcPr>
          <w:p w14:paraId="23702E5C"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shd w:val="clear" w:color="auto" w:fill="auto"/>
            <w:vAlign w:val="center"/>
            <w:hideMark/>
          </w:tcPr>
          <w:p w14:paraId="21AF4854"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52878448" w14:textId="77777777" w:rsidTr="004131E7">
        <w:trPr>
          <w:cantSplit/>
          <w:trHeight w:val="20"/>
        </w:trPr>
        <w:tc>
          <w:tcPr>
            <w:tcW w:w="616" w:type="pct"/>
            <w:vMerge/>
            <w:tcBorders>
              <w:bottom w:val="single" w:sz="4" w:space="0" w:color="auto"/>
            </w:tcBorders>
            <w:shd w:val="clear" w:color="auto" w:fill="auto"/>
            <w:vAlign w:val="center"/>
            <w:hideMark/>
          </w:tcPr>
          <w:p w14:paraId="4B3B9E30"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49308415"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65480201"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Curtailments / Energy not served</w:t>
            </w:r>
          </w:p>
        </w:tc>
        <w:tc>
          <w:tcPr>
            <w:tcW w:w="618" w:type="pct"/>
            <w:shd w:val="clear" w:color="auto" w:fill="auto"/>
            <w:vAlign w:val="center"/>
            <w:hideMark/>
          </w:tcPr>
          <w:p w14:paraId="1681BB2E"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shd w:val="clear" w:color="auto" w:fill="auto"/>
            <w:vAlign w:val="center"/>
            <w:hideMark/>
          </w:tcPr>
          <w:p w14:paraId="09F68CE3"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C22C47" w:rsidRPr="00C22C47" w14:paraId="4F886A80" w14:textId="77777777" w:rsidTr="004131E7">
        <w:trPr>
          <w:cantSplit/>
          <w:trHeight w:val="20"/>
        </w:trPr>
        <w:tc>
          <w:tcPr>
            <w:tcW w:w="616" w:type="pct"/>
            <w:vMerge/>
            <w:tcBorders>
              <w:bottom w:val="single" w:sz="4" w:space="0" w:color="auto"/>
            </w:tcBorders>
            <w:shd w:val="clear" w:color="auto" w:fill="auto"/>
            <w:vAlign w:val="center"/>
            <w:hideMark/>
          </w:tcPr>
          <w:p w14:paraId="33EA9141"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shd w:val="clear" w:color="auto" w:fill="auto"/>
            <w:vAlign w:val="center"/>
            <w:hideMark/>
          </w:tcPr>
          <w:p w14:paraId="48D32EF3" w14:textId="77777777" w:rsidR="00150D80" w:rsidRPr="00C22C47" w:rsidRDefault="00150D80" w:rsidP="00150D80">
            <w:pPr>
              <w:spacing w:before="0" w:after="0"/>
              <w:jc w:val="center"/>
              <w:rPr>
                <w:rFonts w:cstheme="minorHAnsi"/>
                <w:color w:val="000000" w:themeColor="text1"/>
                <w:sz w:val="19"/>
                <w:szCs w:val="19"/>
              </w:rPr>
            </w:pPr>
          </w:p>
        </w:tc>
        <w:tc>
          <w:tcPr>
            <w:tcW w:w="2548" w:type="pct"/>
            <w:shd w:val="clear" w:color="auto" w:fill="auto"/>
            <w:vAlign w:val="center"/>
            <w:hideMark/>
          </w:tcPr>
          <w:p w14:paraId="68BCECED"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Weather and climate condition dependence</w:t>
            </w:r>
          </w:p>
        </w:tc>
        <w:tc>
          <w:tcPr>
            <w:tcW w:w="618" w:type="pct"/>
            <w:shd w:val="clear" w:color="auto" w:fill="auto"/>
            <w:vAlign w:val="center"/>
            <w:hideMark/>
          </w:tcPr>
          <w:p w14:paraId="32DA3955"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13</w:t>
            </w:r>
          </w:p>
        </w:tc>
        <w:tc>
          <w:tcPr>
            <w:tcW w:w="441" w:type="pct"/>
            <w:shd w:val="clear" w:color="auto" w:fill="auto"/>
            <w:vAlign w:val="center"/>
            <w:hideMark/>
          </w:tcPr>
          <w:p w14:paraId="78D647A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r w:rsidR="00150D80" w:rsidRPr="00C22C47" w14:paraId="51DA1B8B" w14:textId="77777777" w:rsidTr="004131E7">
        <w:trPr>
          <w:cantSplit/>
          <w:trHeight w:val="20"/>
        </w:trPr>
        <w:tc>
          <w:tcPr>
            <w:tcW w:w="616" w:type="pct"/>
            <w:vMerge/>
            <w:tcBorders>
              <w:bottom w:val="single" w:sz="4" w:space="0" w:color="auto"/>
            </w:tcBorders>
            <w:shd w:val="clear" w:color="auto" w:fill="auto"/>
            <w:vAlign w:val="center"/>
            <w:hideMark/>
          </w:tcPr>
          <w:p w14:paraId="3F6A823F" w14:textId="77777777" w:rsidR="00150D80" w:rsidRPr="00C22C47" w:rsidRDefault="00150D80" w:rsidP="00150D80">
            <w:pPr>
              <w:spacing w:before="0" w:after="0"/>
              <w:jc w:val="center"/>
              <w:rPr>
                <w:rFonts w:cstheme="minorHAnsi"/>
                <w:color w:val="000000" w:themeColor="text1"/>
                <w:sz w:val="19"/>
                <w:szCs w:val="19"/>
              </w:rPr>
            </w:pPr>
          </w:p>
        </w:tc>
        <w:tc>
          <w:tcPr>
            <w:tcW w:w="776" w:type="pct"/>
            <w:vMerge/>
            <w:tcBorders>
              <w:bottom w:val="single" w:sz="4" w:space="0" w:color="auto"/>
            </w:tcBorders>
            <w:shd w:val="clear" w:color="auto" w:fill="auto"/>
            <w:vAlign w:val="center"/>
            <w:hideMark/>
          </w:tcPr>
          <w:p w14:paraId="74138B3E" w14:textId="77777777" w:rsidR="00150D80" w:rsidRPr="00C22C47" w:rsidRDefault="00150D80" w:rsidP="00150D80">
            <w:pPr>
              <w:spacing w:before="0" w:after="0"/>
              <w:jc w:val="center"/>
              <w:rPr>
                <w:rFonts w:cstheme="minorHAnsi"/>
                <w:color w:val="000000" w:themeColor="text1"/>
                <w:sz w:val="19"/>
                <w:szCs w:val="19"/>
              </w:rPr>
            </w:pPr>
          </w:p>
        </w:tc>
        <w:tc>
          <w:tcPr>
            <w:tcW w:w="2548" w:type="pct"/>
            <w:tcBorders>
              <w:bottom w:val="single" w:sz="4" w:space="0" w:color="auto"/>
            </w:tcBorders>
            <w:shd w:val="clear" w:color="auto" w:fill="auto"/>
            <w:vAlign w:val="center"/>
            <w:hideMark/>
          </w:tcPr>
          <w:p w14:paraId="2CD1B9FE"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Availability of primary energy supply</w:t>
            </w:r>
          </w:p>
        </w:tc>
        <w:tc>
          <w:tcPr>
            <w:tcW w:w="618" w:type="pct"/>
            <w:tcBorders>
              <w:bottom w:val="single" w:sz="4" w:space="0" w:color="auto"/>
            </w:tcBorders>
            <w:shd w:val="clear" w:color="auto" w:fill="auto"/>
            <w:vAlign w:val="center"/>
            <w:hideMark/>
          </w:tcPr>
          <w:p w14:paraId="04D9117B"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7</w:t>
            </w:r>
          </w:p>
        </w:tc>
        <w:tc>
          <w:tcPr>
            <w:tcW w:w="441" w:type="pct"/>
            <w:tcBorders>
              <w:bottom w:val="single" w:sz="4" w:space="0" w:color="auto"/>
            </w:tcBorders>
            <w:shd w:val="clear" w:color="auto" w:fill="auto"/>
            <w:vAlign w:val="center"/>
            <w:hideMark/>
          </w:tcPr>
          <w:p w14:paraId="168044BF" w14:textId="77777777" w:rsidR="00150D80" w:rsidRPr="00C22C47" w:rsidRDefault="00150D80" w:rsidP="00150D80">
            <w:pPr>
              <w:spacing w:before="0" w:after="0"/>
              <w:jc w:val="center"/>
              <w:rPr>
                <w:rFonts w:cstheme="minorHAnsi"/>
                <w:color w:val="000000" w:themeColor="text1"/>
                <w:sz w:val="19"/>
                <w:szCs w:val="19"/>
              </w:rPr>
            </w:pPr>
            <w:r w:rsidRPr="00C22C47">
              <w:rPr>
                <w:rFonts w:cstheme="minorHAnsi"/>
                <w:color w:val="000000" w:themeColor="text1"/>
                <w:sz w:val="19"/>
                <w:szCs w:val="19"/>
              </w:rPr>
              <w:t>LR</w:t>
            </w:r>
          </w:p>
        </w:tc>
      </w:tr>
    </w:tbl>
    <w:p w14:paraId="6665FAAF" w14:textId="7E6BA720" w:rsidR="000B5206" w:rsidRPr="00C22C47" w:rsidRDefault="004131E7" w:rsidP="004131E7">
      <w:pPr>
        <w:pStyle w:val="Subtitle"/>
        <w:rPr>
          <w:color w:val="000000" w:themeColor="text1"/>
        </w:rPr>
      </w:pPr>
      <w:r w:rsidRPr="00C22C47">
        <w:rPr>
          <w:color w:val="000000" w:themeColor="text1"/>
        </w:rPr>
        <w:t xml:space="preserve">Table </w:t>
      </w:r>
      <w:r w:rsidRPr="00C22C47">
        <w:rPr>
          <w:color w:val="000000" w:themeColor="text1"/>
        </w:rPr>
        <w:fldChar w:fldCharType="begin"/>
      </w:r>
      <w:r w:rsidRPr="00C22C47">
        <w:rPr>
          <w:color w:val="000000" w:themeColor="text1"/>
        </w:rPr>
        <w:instrText xml:space="preserve"> SEQ Table \* ARABIC </w:instrText>
      </w:r>
      <w:r w:rsidRPr="00C22C47">
        <w:rPr>
          <w:color w:val="000000" w:themeColor="text1"/>
        </w:rPr>
        <w:fldChar w:fldCharType="separate"/>
      </w:r>
      <w:r>
        <w:rPr>
          <w:noProof/>
          <w:color w:val="000000" w:themeColor="text1"/>
        </w:rPr>
        <w:t>10</w:t>
      </w:r>
      <w:r w:rsidRPr="00C22C47">
        <w:rPr>
          <w:noProof/>
          <w:color w:val="000000" w:themeColor="text1"/>
        </w:rPr>
        <w:fldChar w:fldCharType="end"/>
      </w:r>
      <w:r w:rsidRPr="00C22C47">
        <w:rPr>
          <w:color w:val="000000" w:themeColor="text1"/>
        </w:rPr>
        <w:t>. SASB, GRI and SDG overlapping metrics</w:t>
      </w:r>
      <w:r>
        <w:rPr>
          <w:color w:val="000000" w:themeColor="text1"/>
        </w:rPr>
        <w:t xml:space="preserve"> with available metrics in literature for energy and hydrogen sustainability framework</w:t>
      </w:r>
      <w:r w:rsidRPr="00C22C47">
        <w:rPr>
          <w:color w:val="000000" w:themeColor="text1"/>
        </w:rPr>
        <w:t xml:space="preserve"> divided into major and subcategories under the broader </w:t>
      </w:r>
      <w:r>
        <w:rPr>
          <w:color w:val="000000" w:themeColor="text1"/>
        </w:rPr>
        <w:t>social</w:t>
      </w:r>
      <w:r w:rsidRPr="00C22C47">
        <w:rPr>
          <w:color w:val="000000" w:themeColor="text1"/>
        </w:rPr>
        <w:t xml:space="preserve"> aspect.</w:t>
      </w:r>
    </w:p>
    <w:tbl>
      <w:tblPr>
        <w:tblW w:w="5000" w:type="pct"/>
        <w:tblBorders>
          <w:top w:val="single" w:sz="4" w:space="0" w:color="auto"/>
        </w:tblBorders>
        <w:tblLook w:val="04A0" w:firstRow="1" w:lastRow="0" w:firstColumn="1" w:lastColumn="0" w:noHBand="0" w:noVBand="1"/>
      </w:tblPr>
      <w:tblGrid>
        <w:gridCol w:w="1165"/>
        <w:gridCol w:w="1443"/>
        <w:gridCol w:w="4798"/>
        <w:gridCol w:w="1164"/>
        <w:gridCol w:w="790"/>
      </w:tblGrid>
      <w:tr w:rsidR="00C22C47" w:rsidRPr="00C22C47" w14:paraId="6BBE97CD" w14:textId="77777777" w:rsidTr="000B5206">
        <w:trPr>
          <w:cantSplit/>
          <w:trHeight w:val="144"/>
        </w:trPr>
        <w:tc>
          <w:tcPr>
            <w:tcW w:w="622" w:type="pct"/>
            <w:tcBorders>
              <w:top w:val="single" w:sz="4" w:space="0" w:color="auto"/>
              <w:bottom w:val="single" w:sz="4" w:space="0" w:color="auto"/>
            </w:tcBorders>
            <w:shd w:val="clear" w:color="auto" w:fill="auto"/>
            <w:vAlign w:val="center"/>
            <w:hideMark/>
          </w:tcPr>
          <w:p w14:paraId="59190399" w14:textId="77777777" w:rsidR="000B5206" w:rsidRPr="00C22C47" w:rsidRDefault="000B5206" w:rsidP="000B5206">
            <w:pPr>
              <w:spacing w:before="0" w:after="0" w:line="240" w:lineRule="auto"/>
              <w:jc w:val="center"/>
              <w:rPr>
                <w:rFonts w:eastAsia="Times New Roman" w:cstheme="minorHAnsi"/>
                <w:b/>
                <w:bCs/>
                <w:color w:val="000000" w:themeColor="text1"/>
                <w:kern w:val="0"/>
                <w:sz w:val="19"/>
                <w:szCs w:val="19"/>
                <w14:ligatures w14:val="none"/>
              </w:rPr>
            </w:pPr>
            <w:r w:rsidRPr="00C22C47">
              <w:rPr>
                <w:rFonts w:eastAsia="Times New Roman" w:cstheme="minorHAnsi"/>
                <w:b/>
                <w:bCs/>
                <w:color w:val="000000" w:themeColor="text1"/>
                <w:kern w:val="0"/>
                <w:sz w:val="19"/>
                <w:szCs w:val="19"/>
                <w14:ligatures w14:val="none"/>
              </w:rPr>
              <w:t>Objective</w:t>
            </w:r>
          </w:p>
        </w:tc>
        <w:tc>
          <w:tcPr>
            <w:tcW w:w="771" w:type="pct"/>
            <w:tcBorders>
              <w:top w:val="single" w:sz="4" w:space="0" w:color="auto"/>
              <w:bottom w:val="single" w:sz="4" w:space="0" w:color="auto"/>
            </w:tcBorders>
            <w:shd w:val="clear" w:color="auto" w:fill="auto"/>
            <w:vAlign w:val="center"/>
            <w:hideMark/>
          </w:tcPr>
          <w:p w14:paraId="2FABF460" w14:textId="77777777" w:rsidR="000B5206" w:rsidRPr="00C22C47" w:rsidRDefault="000B5206" w:rsidP="000B5206">
            <w:pPr>
              <w:spacing w:before="0" w:after="0" w:line="240" w:lineRule="auto"/>
              <w:jc w:val="center"/>
              <w:rPr>
                <w:rFonts w:eastAsia="Times New Roman" w:cstheme="minorHAnsi"/>
                <w:b/>
                <w:bCs/>
                <w:color w:val="000000" w:themeColor="text1"/>
                <w:kern w:val="0"/>
                <w:sz w:val="19"/>
                <w:szCs w:val="19"/>
                <w14:ligatures w14:val="none"/>
              </w:rPr>
            </w:pPr>
            <w:r w:rsidRPr="00C22C47">
              <w:rPr>
                <w:rFonts w:eastAsia="Times New Roman" w:cstheme="minorHAnsi"/>
                <w:b/>
                <w:bCs/>
                <w:color w:val="000000" w:themeColor="text1"/>
                <w:kern w:val="0"/>
                <w:sz w:val="19"/>
                <w:szCs w:val="19"/>
                <w14:ligatures w14:val="none"/>
              </w:rPr>
              <w:t>Metric</w:t>
            </w:r>
          </w:p>
        </w:tc>
        <w:tc>
          <w:tcPr>
            <w:tcW w:w="2563" w:type="pct"/>
            <w:tcBorders>
              <w:top w:val="single" w:sz="4" w:space="0" w:color="auto"/>
              <w:bottom w:val="single" w:sz="4" w:space="0" w:color="auto"/>
            </w:tcBorders>
            <w:shd w:val="clear" w:color="auto" w:fill="auto"/>
            <w:vAlign w:val="center"/>
            <w:hideMark/>
          </w:tcPr>
          <w:p w14:paraId="72CAE103" w14:textId="77777777" w:rsidR="000B5206" w:rsidRPr="00C22C47" w:rsidRDefault="000B5206" w:rsidP="000B5206">
            <w:pPr>
              <w:spacing w:before="0" w:after="0" w:line="240" w:lineRule="auto"/>
              <w:jc w:val="center"/>
              <w:rPr>
                <w:rFonts w:eastAsia="Times New Roman" w:cstheme="minorHAnsi"/>
                <w:b/>
                <w:bCs/>
                <w:color w:val="000000" w:themeColor="text1"/>
                <w:kern w:val="0"/>
                <w:sz w:val="19"/>
                <w:szCs w:val="19"/>
                <w14:ligatures w14:val="none"/>
              </w:rPr>
            </w:pPr>
            <w:r w:rsidRPr="00C22C47">
              <w:rPr>
                <w:rFonts w:eastAsia="Times New Roman" w:cstheme="minorHAnsi"/>
                <w:b/>
                <w:bCs/>
                <w:color w:val="000000" w:themeColor="text1"/>
                <w:kern w:val="0"/>
                <w:sz w:val="19"/>
                <w:szCs w:val="19"/>
                <w14:ligatures w14:val="none"/>
              </w:rPr>
              <w:t>Sub-Metric</w:t>
            </w:r>
          </w:p>
        </w:tc>
        <w:tc>
          <w:tcPr>
            <w:tcW w:w="622" w:type="pct"/>
            <w:tcBorders>
              <w:top w:val="single" w:sz="4" w:space="0" w:color="auto"/>
              <w:bottom w:val="single" w:sz="4" w:space="0" w:color="auto"/>
            </w:tcBorders>
            <w:shd w:val="clear" w:color="auto" w:fill="auto"/>
            <w:vAlign w:val="center"/>
            <w:hideMark/>
          </w:tcPr>
          <w:p w14:paraId="6C271DA2" w14:textId="77777777" w:rsidR="000B5206" w:rsidRPr="00C22C47" w:rsidRDefault="000B5206" w:rsidP="000B5206">
            <w:pPr>
              <w:spacing w:before="0" w:after="0" w:line="240" w:lineRule="auto"/>
              <w:jc w:val="center"/>
              <w:rPr>
                <w:rFonts w:eastAsia="Times New Roman" w:cstheme="minorHAnsi"/>
                <w:b/>
                <w:bCs/>
                <w:color w:val="000000" w:themeColor="text1"/>
                <w:kern w:val="0"/>
                <w:sz w:val="19"/>
                <w:szCs w:val="19"/>
                <w14:ligatures w14:val="none"/>
              </w:rPr>
            </w:pPr>
            <w:r w:rsidRPr="00C22C47">
              <w:rPr>
                <w:rFonts w:eastAsia="Times New Roman" w:cstheme="minorHAnsi"/>
                <w:b/>
                <w:bCs/>
                <w:color w:val="000000" w:themeColor="text1"/>
                <w:kern w:val="0"/>
                <w:sz w:val="19"/>
                <w:szCs w:val="19"/>
                <w14:ligatures w14:val="none"/>
              </w:rPr>
              <w:t>SDG Goal</w:t>
            </w:r>
          </w:p>
        </w:tc>
        <w:tc>
          <w:tcPr>
            <w:tcW w:w="422" w:type="pct"/>
            <w:tcBorders>
              <w:top w:val="single" w:sz="4" w:space="0" w:color="auto"/>
              <w:bottom w:val="single" w:sz="4" w:space="0" w:color="auto"/>
            </w:tcBorders>
            <w:shd w:val="clear" w:color="auto" w:fill="auto"/>
            <w:vAlign w:val="center"/>
            <w:hideMark/>
          </w:tcPr>
          <w:p w14:paraId="33A8BF45" w14:textId="77777777" w:rsidR="000B5206" w:rsidRPr="00C22C47" w:rsidRDefault="000B5206" w:rsidP="000B5206">
            <w:pPr>
              <w:spacing w:before="0" w:after="0" w:line="240" w:lineRule="auto"/>
              <w:jc w:val="center"/>
              <w:rPr>
                <w:rFonts w:eastAsia="Times New Roman" w:cstheme="minorHAnsi"/>
                <w:b/>
                <w:bCs/>
                <w:color w:val="000000" w:themeColor="text1"/>
                <w:kern w:val="0"/>
                <w:sz w:val="19"/>
                <w:szCs w:val="19"/>
                <w14:ligatures w14:val="none"/>
              </w:rPr>
            </w:pPr>
            <w:r w:rsidRPr="00C22C47">
              <w:rPr>
                <w:rFonts w:eastAsia="Times New Roman" w:cstheme="minorHAnsi"/>
                <w:b/>
                <w:bCs/>
                <w:color w:val="000000" w:themeColor="text1"/>
                <w:kern w:val="0"/>
                <w:sz w:val="19"/>
                <w:szCs w:val="19"/>
                <w14:ligatures w14:val="none"/>
              </w:rPr>
              <w:t>Source</w:t>
            </w:r>
          </w:p>
        </w:tc>
      </w:tr>
      <w:tr w:rsidR="00C22C47" w:rsidRPr="00C22C47" w14:paraId="6842E3B2" w14:textId="77777777" w:rsidTr="000B5206">
        <w:trPr>
          <w:cantSplit/>
          <w:trHeight w:val="144"/>
        </w:trPr>
        <w:tc>
          <w:tcPr>
            <w:tcW w:w="622" w:type="pct"/>
            <w:vMerge w:val="restart"/>
            <w:tcBorders>
              <w:top w:val="single" w:sz="4" w:space="0" w:color="auto"/>
              <w:bottom w:val="single" w:sz="4" w:space="0" w:color="auto"/>
            </w:tcBorders>
            <w:shd w:val="clear" w:color="auto" w:fill="auto"/>
            <w:textDirection w:val="btLr"/>
            <w:vAlign w:val="center"/>
            <w:hideMark/>
          </w:tcPr>
          <w:p w14:paraId="62714499" w14:textId="6281C71E" w:rsidR="000B5206" w:rsidRPr="00C22C47" w:rsidRDefault="000B5206" w:rsidP="000B5206">
            <w:pPr>
              <w:spacing w:before="0" w:after="0" w:line="240" w:lineRule="auto"/>
              <w:ind w:left="113" w:right="113"/>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Social</w:t>
            </w:r>
          </w:p>
        </w:tc>
        <w:tc>
          <w:tcPr>
            <w:tcW w:w="771" w:type="pct"/>
            <w:vMerge w:val="restart"/>
            <w:tcBorders>
              <w:top w:val="single" w:sz="4" w:space="0" w:color="auto"/>
            </w:tcBorders>
            <w:shd w:val="clear" w:color="auto" w:fill="auto"/>
            <w:vAlign w:val="center"/>
            <w:hideMark/>
          </w:tcPr>
          <w:p w14:paraId="2E6179C6" w14:textId="37BBF000" w:rsidR="000B5206" w:rsidRPr="00C22C47" w:rsidRDefault="0076009A" w:rsidP="000B5206">
            <w:pPr>
              <w:spacing w:before="0" w:after="0" w:line="240" w:lineRule="auto"/>
              <w:jc w:val="center"/>
              <w:rPr>
                <w:rFonts w:eastAsia="Times New Roman" w:cstheme="minorHAnsi"/>
                <w:color w:val="000000" w:themeColor="text1"/>
                <w:kern w:val="0"/>
                <w:sz w:val="19"/>
                <w:szCs w:val="19"/>
                <w14:ligatures w14:val="none"/>
              </w:rPr>
            </w:pPr>
            <w:hyperlink w:anchor="_Community_Impact" w:history="1">
              <w:r w:rsidR="000B5206" w:rsidRPr="002621BB">
                <w:rPr>
                  <w:rStyle w:val="Hyperlink"/>
                  <w:rFonts w:eastAsia="Times New Roman" w:cstheme="minorHAnsi"/>
                  <w:kern w:val="0"/>
                  <w:sz w:val="19"/>
                  <w:szCs w:val="19"/>
                  <w14:ligatures w14:val="none"/>
                </w:rPr>
                <w:t>Community Impact</w:t>
              </w:r>
            </w:hyperlink>
          </w:p>
        </w:tc>
        <w:tc>
          <w:tcPr>
            <w:tcW w:w="2563" w:type="pct"/>
            <w:tcBorders>
              <w:top w:val="single" w:sz="4" w:space="0" w:color="auto"/>
            </w:tcBorders>
            <w:shd w:val="clear" w:color="auto" w:fill="auto"/>
            <w:vAlign w:val="center"/>
            <w:hideMark/>
          </w:tcPr>
          <w:p w14:paraId="6C8972C0"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Social acceptability</w:t>
            </w:r>
          </w:p>
        </w:tc>
        <w:tc>
          <w:tcPr>
            <w:tcW w:w="622" w:type="pct"/>
            <w:tcBorders>
              <w:top w:val="single" w:sz="4" w:space="0" w:color="auto"/>
            </w:tcBorders>
            <w:shd w:val="clear" w:color="auto" w:fill="auto"/>
            <w:vAlign w:val="center"/>
            <w:hideMark/>
          </w:tcPr>
          <w:p w14:paraId="70041713"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11,16</w:t>
            </w:r>
          </w:p>
        </w:tc>
        <w:tc>
          <w:tcPr>
            <w:tcW w:w="422" w:type="pct"/>
            <w:tcBorders>
              <w:top w:val="single" w:sz="4" w:space="0" w:color="auto"/>
            </w:tcBorders>
            <w:shd w:val="clear" w:color="auto" w:fill="auto"/>
            <w:vAlign w:val="center"/>
            <w:hideMark/>
          </w:tcPr>
          <w:p w14:paraId="67F6205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4EA13513" w14:textId="77777777" w:rsidTr="000B5206">
        <w:trPr>
          <w:cantSplit/>
          <w:trHeight w:val="144"/>
        </w:trPr>
        <w:tc>
          <w:tcPr>
            <w:tcW w:w="622" w:type="pct"/>
            <w:vMerge/>
            <w:tcBorders>
              <w:top w:val="nil"/>
              <w:bottom w:val="single" w:sz="4" w:space="0" w:color="auto"/>
            </w:tcBorders>
            <w:shd w:val="clear" w:color="auto" w:fill="auto"/>
            <w:vAlign w:val="center"/>
            <w:hideMark/>
          </w:tcPr>
          <w:p w14:paraId="692611CE"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74860C7C"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5599EC87"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Public Acceptance</w:t>
            </w:r>
          </w:p>
        </w:tc>
        <w:tc>
          <w:tcPr>
            <w:tcW w:w="622" w:type="pct"/>
            <w:tcBorders>
              <w:top w:val="nil"/>
            </w:tcBorders>
            <w:shd w:val="clear" w:color="auto" w:fill="auto"/>
            <w:vAlign w:val="center"/>
            <w:hideMark/>
          </w:tcPr>
          <w:p w14:paraId="0D13DE13"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16</w:t>
            </w:r>
          </w:p>
        </w:tc>
        <w:tc>
          <w:tcPr>
            <w:tcW w:w="422" w:type="pct"/>
            <w:tcBorders>
              <w:top w:val="nil"/>
            </w:tcBorders>
            <w:shd w:val="clear" w:color="auto" w:fill="auto"/>
            <w:vAlign w:val="center"/>
            <w:hideMark/>
          </w:tcPr>
          <w:p w14:paraId="4E3B2903"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1C2FCEFA" w14:textId="77777777" w:rsidTr="000B5206">
        <w:trPr>
          <w:cantSplit/>
          <w:trHeight w:val="144"/>
        </w:trPr>
        <w:tc>
          <w:tcPr>
            <w:tcW w:w="622" w:type="pct"/>
            <w:vMerge/>
            <w:tcBorders>
              <w:top w:val="nil"/>
              <w:bottom w:val="single" w:sz="4" w:space="0" w:color="auto"/>
            </w:tcBorders>
            <w:shd w:val="clear" w:color="auto" w:fill="auto"/>
            <w:vAlign w:val="center"/>
            <w:hideMark/>
          </w:tcPr>
          <w:p w14:paraId="197E03B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1260D627"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28044DC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Cultural Preservation</w:t>
            </w:r>
          </w:p>
        </w:tc>
        <w:tc>
          <w:tcPr>
            <w:tcW w:w="622" w:type="pct"/>
            <w:tcBorders>
              <w:top w:val="nil"/>
            </w:tcBorders>
            <w:shd w:val="clear" w:color="auto" w:fill="auto"/>
            <w:vAlign w:val="center"/>
            <w:hideMark/>
          </w:tcPr>
          <w:p w14:paraId="48282980"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11</w:t>
            </w:r>
          </w:p>
        </w:tc>
        <w:tc>
          <w:tcPr>
            <w:tcW w:w="422" w:type="pct"/>
            <w:tcBorders>
              <w:top w:val="nil"/>
            </w:tcBorders>
            <w:shd w:val="clear" w:color="auto" w:fill="auto"/>
            <w:vAlign w:val="center"/>
            <w:hideMark/>
          </w:tcPr>
          <w:p w14:paraId="47CCF069"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1E4C8098" w14:textId="77777777" w:rsidTr="000B5206">
        <w:trPr>
          <w:cantSplit/>
          <w:trHeight w:val="144"/>
        </w:trPr>
        <w:tc>
          <w:tcPr>
            <w:tcW w:w="622" w:type="pct"/>
            <w:vMerge/>
            <w:tcBorders>
              <w:top w:val="nil"/>
              <w:bottom w:val="single" w:sz="4" w:space="0" w:color="auto"/>
            </w:tcBorders>
            <w:shd w:val="clear" w:color="auto" w:fill="auto"/>
            <w:vAlign w:val="center"/>
            <w:hideMark/>
          </w:tcPr>
          <w:p w14:paraId="712416B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1087AE9E"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404291EE"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Conflict with other applications</w:t>
            </w:r>
          </w:p>
        </w:tc>
        <w:tc>
          <w:tcPr>
            <w:tcW w:w="622" w:type="pct"/>
            <w:tcBorders>
              <w:top w:val="nil"/>
            </w:tcBorders>
            <w:shd w:val="clear" w:color="auto" w:fill="auto"/>
            <w:vAlign w:val="center"/>
            <w:hideMark/>
          </w:tcPr>
          <w:p w14:paraId="54E52995"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16</w:t>
            </w:r>
          </w:p>
        </w:tc>
        <w:tc>
          <w:tcPr>
            <w:tcW w:w="422" w:type="pct"/>
            <w:tcBorders>
              <w:top w:val="nil"/>
            </w:tcBorders>
            <w:shd w:val="clear" w:color="auto" w:fill="auto"/>
            <w:vAlign w:val="center"/>
            <w:hideMark/>
          </w:tcPr>
          <w:p w14:paraId="767915F6"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74916EE4" w14:textId="77777777" w:rsidTr="000B5206">
        <w:trPr>
          <w:cantSplit/>
          <w:trHeight w:val="144"/>
        </w:trPr>
        <w:tc>
          <w:tcPr>
            <w:tcW w:w="622" w:type="pct"/>
            <w:vMerge/>
            <w:tcBorders>
              <w:top w:val="nil"/>
              <w:bottom w:val="single" w:sz="4" w:space="0" w:color="auto"/>
            </w:tcBorders>
            <w:shd w:val="clear" w:color="auto" w:fill="auto"/>
            <w:vAlign w:val="center"/>
            <w:hideMark/>
          </w:tcPr>
          <w:p w14:paraId="77EE155E"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bottom w:val="single" w:sz="4" w:space="0" w:color="auto"/>
            </w:tcBorders>
            <w:shd w:val="clear" w:color="auto" w:fill="auto"/>
            <w:vAlign w:val="center"/>
            <w:hideMark/>
          </w:tcPr>
          <w:p w14:paraId="03B6A24D"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bottom w:val="single" w:sz="4" w:space="0" w:color="auto"/>
            </w:tcBorders>
            <w:shd w:val="clear" w:color="auto" w:fill="auto"/>
            <w:vAlign w:val="center"/>
            <w:hideMark/>
          </w:tcPr>
          <w:p w14:paraId="107D0DDC"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Negative Community Impacts</w:t>
            </w:r>
          </w:p>
        </w:tc>
        <w:tc>
          <w:tcPr>
            <w:tcW w:w="622" w:type="pct"/>
            <w:tcBorders>
              <w:top w:val="nil"/>
              <w:bottom w:val="single" w:sz="4" w:space="0" w:color="auto"/>
            </w:tcBorders>
            <w:shd w:val="clear" w:color="auto" w:fill="auto"/>
            <w:vAlign w:val="center"/>
            <w:hideMark/>
          </w:tcPr>
          <w:p w14:paraId="28897901"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11</w:t>
            </w:r>
          </w:p>
        </w:tc>
        <w:tc>
          <w:tcPr>
            <w:tcW w:w="422" w:type="pct"/>
            <w:tcBorders>
              <w:top w:val="nil"/>
              <w:bottom w:val="single" w:sz="4" w:space="0" w:color="auto"/>
            </w:tcBorders>
            <w:shd w:val="clear" w:color="auto" w:fill="auto"/>
            <w:vAlign w:val="center"/>
            <w:hideMark/>
          </w:tcPr>
          <w:p w14:paraId="3CF3EB2A"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29977E21" w14:textId="77777777" w:rsidTr="000B5206">
        <w:trPr>
          <w:cantSplit/>
          <w:trHeight w:val="144"/>
        </w:trPr>
        <w:tc>
          <w:tcPr>
            <w:tcW w:w="622" w:type="pct"/>
            <w:vMerge/>
            <w:tcBorders>
              <w:top w:val="nil"/>
              <w:bottom w:val="single" w:sz="4" w:space="0" w:color="auto"/>
            </w:tcBorders>
            <w:shd w:val="clear" w:color="auto" w:fill="auto"/>
            <w:vAlign w:val="center"/>
            <w:hideMark/>
          </w:tcPr>
          <w:p w14:paraId="0A58095B"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val="restart"/>
            <w:tcBorders>
              <w:top w:val="single" w:sz="4" w:space="0" w:color="auto"/>
            </w:tcBorders>
            <w:shd w:val="clear" w:color="auto" w:fill="auto"/>
            <w:vAlign w:val="center"/>
            <w:hideMark/>
          </w:tcPr>
          <w:p w14:paraId="6E6BAA84" w14:textId="42D0F23A" w:rsidR="000B5206" w:rsidRPr="00C22C47" w:rsidRDefault="0076009A" w:rsidP="000B5206">
            <w:pPr>
              <w:spacing w:before="0" w:after="0" w:line="240" w:lineRule="auto"/>
              <w:jc w:val="center"/>
              <w:rPr>
                <w:rFonts w:eastAsia="Times New Roman" w:cstheme="minorHAnsi"/>
                <w:color w:val="000000" w:themeColor="text1"/>
                <w:kern w:val="0"/>
                <w:sz w:val="19"/>
                <w:szCs w:val="19"/>
                <w14:ligatures w14:val="none"/>
              </w:rPr>
            </w:pPr>
            <w:hyperlink w:anchor="_Workforce_Development" w:history="1">
              <w:r w:rsidR="000B5206" w:rsidRPr="002621BB">
                <w:rPr>
                  <w:rStyle w:val="Hyperlink"/>
                  <w:rFonts w:eastAsia="Times New Roman" w:cstheme="minorHAnsi"/>
                  <w:kern w:val="0"/>
                  <w:sz w:val="19"/>
                  <w:szCs w:val="19"/>
                  <w14:ligatures w14:val="none"/>
                </w:rPr>
                <w:t>Workforce Development</w:t>
              </w:r>
            </w:hyperlink>
          </w:p>
        </w:tc>
        <w:tc>
          <w:tcPr>
            <w:tcW w:w="2563" w:type="pct"/>
            <w:tcBorders>
              <w:top w:val="single" w:sz="4" w:space="0" w:color="auto"/>
            </w:tcBorders>
            <w:shd w:val="clear" w:color="auto" w:fill="auto"/>
            <w:vAlign w:val="center"/>
            <w:hideMark/>
          </w:tcPr>
          <w:p w14:paraId="33798E9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Job creation</w:t>
            </w:r>
          </w:p>
        </w:tc>
        <w:tc>
          <w:tcPr>
            <w:tcW w:w="622" w:type="pct"/>
            <w:tcBorders>
              <w:top w:val="single" w:sz="4" w:space="0" w:color="auto"/>
            </w:tcBorders>
            <w:shd w:val="clear" w:color="auto" w:fill="auto"/>
            <w:vAlign w:val="center"/>
            <w:hideMark/>
          </w:tcPr>
          <w:p w14:paraId="595F8AB9"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2,8</w:t>
            </w:r>
          </w:p>
        </w:tc>
        <w:tc>
          <w:tcPr>
            <w:tcW w:w="422" w:type="pct"/>
            <w:tcBorders>
              <w:top w:val="single" w:sz="4" w:space="0" w:color="auto"/>
            </w:tcBorders>
            <w:shd w:val="clear" w:color="auto" w:fill="auto"/>
            <w:vAlign w:val="center"/>
            <w:hideMark/>
          </w:tcPr>
          <w:p w14:paraId="4159B59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649875DA" w14:textId="77777777" w:rsidTr="000B5206">
        <w:trPr>
          <w:cantSplit/>
          <w:trHeight w:val="144"/>
        </w:trPr>
        <w:tc>
          <w:tcPr>
            <w:tcW w:w="622" w:type="pct"/>
            <w:vMerge/>
            <w:tcBorders>
              <w:top w:val="nil"/>
              <w:bottom w:val="single" w:sz="4" w:space="0" w:color="auto"/>
            </w:tcBorders>
            <w:shd w:val="clear" w:color="auto" w:fill="auto"/>
            <w:vAlign w:val="center"/>
            <w:hideMark/>
          </w:tcPr>
          <w:p w14:paraId="33CE748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1259564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084ED515"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Education Opportunities</w:t>
            </w:r>
          </w:p>
        </w:tc>
        <w:tc>
          <w:tcPr>
            <w:tcW w:w="622" w:type="pct"/>
            <w:tcBorders>
              <w:top w:val="nil"/>
            </w:tcBorders>
            <w:shd w:val="clear" w:color="auto" w:fill="auto"/>
            <w:vAlign w:val="center"/>
            <w:hideMark/>
          </w:tcPr>
          <w:p w14:paraId="53513575"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4</w:t>
            </w:r>
          </w:p>
        </w:tc>
        <w:tc>
          <w:tcPr>
            <w:tcW w:w="422" w:type="pct"/>
            <w:tcBorders>
              <w:top w:val="nil"/>
            </w:tcBorders>
            <w:shd w:val="clear" w:color="auto" w:fill="auto"/>
            <w:vAlign w:val="center"/>
            <w:hideMark/>
          </w:tcPr>
          <w:p w14:paraId="6D7CB77F"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3770B2D9" w14:textId="77777777" w:rsidTr="000B5206">
        <w:trPr>
          <w:cantSplit/>
          <w:trHeight w:val="144"/>
        </w:trPr>
        <w:tc>
          <w:tcPr>
            <w:tcW w:w="622" w:type="pct"/>
            <w:vMerge/>
            <w:tcBorders>
              <w:top w:val="nil"/>
              <w:bottom w:val="single" w:sz="4" w:space="0" w:color="auto"/>
            </w:tcBorders>
            <w:shd w:val="clear" w:color="auto" w:fill="auto"/>
            <w:vAlign w:val="center"/>
            <w:hideMark/>
          </w:tcPr>
          <w:p w14:paraId="47EE09A1"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11F452BD"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6516C9B1"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Training Opportunities</w:t>
            </w:r>
          </w:p>
        </w:tc>
        <w:tc>
          <w:tcPr>
            <w:tcW w:w="622" w:type="pct"/>
            <w:tcBorders>
              <w:top w:val="nil"/>
            </w:tcBorders>
            <w:shd w:val="clear" w:color="auto" w:fill="auto"/>
            <w:vAlign w:val="center"/>
            <w:hideMark/>
          </w:tcPr>
          <w:p w14:paraId="36446B8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8</w:t>
            </w:r>
          </w:p>
        </w:tc>
        <w:tc>
          <w:tcPr>
            <w:tcW w:w="422" w:type="pct"/>
            <w:tcBorders>
              <w:top w:val="nil"/>
            </w:tcBorders>
            <w:shd w:val="clear" w:color="auto" w:fill="auto"/>
            <w:vAlign w:val="center"/>
            <w:hideMark/>
          </w:tcPr>
          <w:p w14:paraId="79DD3CC1"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78263318" w14:textId="77777777" w:rsidTr="000B5206">
        <w:trPr>
          <w:cantSplit/>
          <w:trHeight w:val="144"/>
        </w:trPr>
        <w:tc>
          <w:tcPr>
            <w:tcW w:w="622" w:type="pct"/>
            <w:vMerge/>
            <w:tcBorders>
              <w:top w:val="nil"/>
              <w:bottom w:val="single" w:sz="4" w:space="0" w:color="auto"/>
            </w:tcBorders>
            <w:shd w:val="clear" w:color="auto" w:fill="auto"/>
            <w:vAlign w:val="center"/>
            <w:hideMark/>
          </w:tcPr>
          <w:p w14:paraId="7989F6AF"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3CC99F3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1DED1250"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Workplace practices</w:t>
            </w:r>
          </w:p>
        </w:tc>
        <w:tc>
          <w:tcPr>
            <w:tcW w:w="622" w:type="pct"/>
            <w:tcBorders>
              <w:top w:val="nil"/>
            </w:tcBorders>
            <w:shd w:val="clear" w:color="auto" w:fill="auto"/>
            <w:vAlign w:val="center"/>
            <w:hideMark/>
          </w:tcPr>
          <w:p w14:paraId="2AE4560A"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8</w:t>
            </w:r>
          </w:p>
        </w:tc>
        <w:tc>
          <w:tcPr>
            <w:tcW w:w="422" w:type="pct"/>
            <w:tcBorders>
              <w:top w:val="nil"/>
            </w:tcBorders>
            <w:shd w:val="clear" w:color="auto" w:fill="auto"/>
            <w:vAlign w:val="center"/>
            <w:hideMark/>
          </w:tcPr>
          <w:p w14:paraId="14C5825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6E53067A" w14:textId="77777777" w:rsidTr="000B5206">
        <w:trPr>
          <w:cantSplit/>
          <w:trHeight w:val="144"/>
        </w:trPr>
        <w:tc>
          <w:tcPr>
            <w:tcW w:w="622" w:type="pct"/>
            <w:vMerge/>
            <w:tcBorders>
              <w:top w:val="nil"/>
              <w:bottom w:val="single" w:sz="4" w:space="0" w:color="auto"/>
            </w:tcBorders>
            <w:shd w:val="clear" w:color="auto" w:fill="auto"/>
            <w:vAlign w:val="center"/>
            <w:hideMark/>
          </w:tcPr>
          <w:p w14:paraId="6C832AB5"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bottom w:val="single" w:sz="4" w:space="0" w:color="auto"/>
            </w:tcBorders>
            <w:shd w:val="clear" w:color="auto" w:fill="auto"/>
            <w:vAlign w:val="center"/>
            <w:hideMark/>
          </w:tcPr>
          <w:p w14:paraId="7F0A5FDB"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bottom w:val="single" w:sz="4" w:space="0" w:color="auto"/>
            </w:tcBorders>
            <w:shd w:val="clear" w:color="auto" w:fill="auto"/>
            <w:vAlign w:val="center"/>
            <w:hideMark/>
          </w:tcPr>
          <w:p w14:paraId="4C0C495F"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Gender Impact</w:t>
            </w:r>
          </w:p>
        </w:tc>
        <w:tc>
          <w:tcPr>
            <w:tcW w:w="622" w:type="pct"/>
            <w:tcBorders>
              <w:top w:val="nil"/>
              <w:bottom w:val="single" w:sz="4" w:space="0" w:color="auto"/>
            </w:tcBorders>
            <w:shd w:val="clear" w:color="auto" w:fill="auto"/>
            <w:vAlign w:val="center"/>
            <w:hideMark/>
          </w:tcPr>
          <w:p w14:paraId="0E67A23F"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5</w:t>
            </w:r>
          </w:p>
        </w:tc>
        <w:tc>
          <w:tcPr>
            <w:tcW w:w="422" w:type="pct"/>
            <w:tcBorders>
              <w:top w:val="nil"/>
              <w:bottom w:val="single" w:sz="4" w:space="0" w:color="auto"/>
            </w:tcBorders>
            <w:shd w:val="clear" w:color="auto" w:fill="auto"/>
            <w:vAlign w:val="center"/>
            <w:hideMark/>
          </w:tcPr>
          <w:p w14:paraId="38C8117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3EAB63C0" w14:textId="77777777" w:rsidTr="000B5206">
        <w:trPr>
          <w:cantSplit/>
          <w:trHeight w:val="144"/>
        </w:trPr>
        <w:tc>
          <w:tcPr>
            <w:tcW w:w="622" w:type="pct"/>
            <w:vMerge/>
            <w:tcBorders>
              <w:top w:val="nil"/>
              <w:bottom w:val="single" w:sz="4" w:space="0" w:color="auto"/>
            </w:tcBorders>
            <w:shd w:val="clear" w:color="auto" w:fill="auto"/>
            <w:vAlign w:val="center"/>
            <w:hideMark/>
          </w:tcPr>
          <w:p w14:paraId="022C670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val="restart"/>
            <w:tcBorders>
              <w:top w:val="single" w:sz="4" w:space="0" w:color="auto"/>
            </w:tcBorders>
            <w:shd w:val="clear" w:color="auto" w:fill="auto"/>
            <w:vAlign w:val="center"/>
            <w:hideMark/>
          </w:tcPr>
          <w:p w14:paraId="7C78BF1E" w14:textId="1DEA4425" w:rsidR="000B5206" w:rsidRPr="00C22C47" w:rsidRDefault="0076009A" w:rsidP="000B5206">
            <w:pPr>
              <w:spacing w:before="0" w:after="0" w:line="240" w:lineRule="auto"/>
              <w:jc w:val="center"/>
              <w:rPr>
                <w:rFonts w:eastAsia="Times New Roman" w:cstheme="minorHAnsi"/>
                <w:color w:val="000000" w:themeColor="text1"/>
                <w:kern w:val="0"/>
                <w:sz w:val="19"/>
                <w:szCs w:val="19"/>
                <w14:ligatures w14:val="none"/>
              </w:rPr>
            </w:pPr>
            <w:hyperlink w:anchor="_Health_and_Safety" w:history="1">
              <w:r w:rsidR="000B5206" w:rsidRPr="002621BB">
                <w:rPr>
                  <w:rStyle w:val="Hyperlink"/>
                  <w:rFonts w:eastAsia="Times New Roman" w:cstheme="minorHAnsi"/>
                  <w:kern w:val="0"/>
                  <w:sz w:val="19"/>
                  <w:szCs w:val="19"/>
                  <w14:ligatures w14:val="none"/>
                </w:rPr>
                <w:t>Health and Safety</w:t>
              </w:r>
            </w:hyperlink>
          </w:p>
        </w:tc>
        <w:tc>
          <w:tcPr>
            <w:tcW w:w="2563" w:type="pct"/>
            <w:tcBorders>
              <w:top w:val="single" w:sz="4" w:space="0" w:color="auto"/>
            </w:tcBorders>
            <w:shd w:val="clear" w:color="auto" w:fill="auto"/>
            <w:vAlign w:val="center"/>
            <w:hideMark/>
          </w:tcPr>
          <w:p w14:paraId="3F48EAB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Health Impact</w:t>
            </w:r>
          </w:p>
        </w:tc>
        <w:tc>
          <w:tcPr>
            <w:tcW w:w="622" w:type="pct"/>
            <w:tcBorders>
              <w:top w:val="single" w:sz="4" w:space="0" w:color="auto"/>
            </w:tcBorders>
            <w:shd w:val="clear" w:color="auto" w:fill="auto"/>
            <w:vAlign w:val="center"/>
            <w:hideMark/>
          </w:tcPr>
          <w:p w14:paraId="6B61795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3</w:t>
            </w:r>
          </w:p>
        </w:tc>
        <w:tc>
          <w:tcPr>
            <w:tcW w:w="422" w:type="pct"/>
            <w:tcBorders>
              <w:top w:val="single" w:sz="4" w:space="0" w:color="auto"/>
            </w:tcBorders>
            <w:shd w:val="clear" w:color="auto" w:fill="auto"/>
            <w:vAlign w:val="center"/>
            <w:hideMark/>
          </w:tcPr>
          <w:p w14:paraId="15782EE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5B137FC6" w14:textId="77777777" w:rsidTr="000B5206">
        <w:trPr>
          <w:cantSplit/>
          <w:trHeight w:val="144"/>
        </w:trPr>
        <w:tc>
          <w:tcPr>
            <w:tcW w:w="622" w:type="pct"/>
            <w:vMerge/>
            <w:tcBorders>
              <w:top w:val="nil"/>
              <w:bottom w:val="single" w:sz="4" w:space="0" w:color="auto"/>
            </w:tcBorders>
            <w:shd w:val="clear" w:color="auto" w:fill="auto"/>
            <w:vAlign w:val="center"/>
            <w:hideMark/>
          </w:tcPr>
          <w:p w14:paraId="501E99CF"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40FF8AF7"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26830DBC"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Safety &amp; Security</w:t>
            </w:r>
          </w:p>
        </w:tc>
        <w:tc>
          <w:tcPr>
            <w:tcW w:w="622" w:type="pct"/>
            <w:tcBorders>
              <w:top w:val="nil"/>
            </w:tcBorders>
            <w:shd w:val="clear" w:color="auto" w:fill="auto"/>
            <w:vAlign w:val="center"/>
            <w:hideMark/>
          </w:tcPr>
          <w:p w14:paraId="0CB29D46"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16</w:t>
            </w:r>
          </w:p>
        </w:tc>
        <w:tc>
          <w:tcPr>
            <w:tcW w:w="422" w:type="pct"/>
            <w:tcBorders>
              <w:top w:val="nil"/>
            </w:tcBorders>
            <w:shd w:val="clear" w:color="auto" w:fill="auto"/>
            <w:vAlign w:val="center"/>
            <w:hideMark/>
          </w:tcPr>
          <w:p w14:paraId="3B482DD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446C9899" w14:textId="77777777" w:rsidTr="000B5206">
        <w:trPr>
          <w:cantSplit/>
          <w:trHeight w:val="144"/>
        </w:trPr>
        <w:tc>
          <w:tcPr>
            <w:tcW w:w="622" w:type="pct"/>
            <w:vMerge/>
            <w:tcBorders>
              <w:top w:val="nil"/>
              <w:bottom w:val="single" w:sz="4" w:space="0" w:color="auto"/>
            </w:tcBorders>
            <w:shd w:val="clear" w:color="auto" w:fill="auto"/>
            <w:vAlign w:val="center"/>
            <w:hideMark/>
          </w:tcPr>
          <w:p w14:paraId="1619B3A3"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730D2C7C"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5B707AB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Work Injuries</w:t>
            </w:r>
          </w:p>
        </w:tc>
        <w:tc>
          <w:tcPr>
            <w:tcW w:w="622" w:type="pct"/>
            <w:tcBorders>
              <w:top w:val="nil"/>
            </w:tcBorders>
            <w:shd w:val="clear" w:color="auto" w:fill="auto"/>
            <w:vAlign w:val="center"/>
            <w:hideMark/>
          </w:tcPr>
          <w:p w14:paraId="051FDD01"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8</w:t>
            </w:r>
          </w:p>
        </w:tc>
        <w:tc>
          <w:tcPr>
            <w:tcW w:w="422" w:type="pct"/>
            <w:tcBorders>
              <w:top w:val="nil"/>
            </w:tcBorders>
            <w:shd w:val="clear" w:color="auto" w:fill="auto"/>
            <w:vAlign w:val="center"/>
            <w:hideMark/>
          </w:tcPr>
          <w:p w14:paraId="326E16C7"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1F5DA16D" w14:textId="77777777" w:rsidTr="000B5206">
        <w:trPr>
          <w:cantSplit/>
          <w:trHeight w:val="144"/>
        </w:trPr>
        <w:tc>
          <w:tcPr>
            <w:tcW w:w="622" w:type="pct"/>
            <w:vMerge/>
            <w:tcBorders>
              <w:top w:val="nil"/>
              <w:bottom w:val="single" w:sz="4" w:space="0" w:color="auto"/>
            </w:tcBorders>
            <w:shd w:val="clear" w:color="auto" w:fill="auto"/>
            <w:vAlign w:val="center"/>
            <w:hideMark/>
          </w:tcPr>
          <w:p w14:paraId="15270A4A"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15C2712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5F7BCED1"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Work Illness</w:t>
            </w:r>
          </w:p>
        </w:tc>
        <w:tc>
          <w:tcPr>
            <w:tcW w:w="622" w:type="pct"/>
            <w:tcBorders>
              <w:top w:val="nil"/>
            </w:tcBorders>
            <w:shd w:val="clear" w:color="auto" w:fill="auto"/>
            <w:vAlign w:val="center"/>
            <w:hideMark/>
          </w:tcPr>
          <w:p w14:paraId="2BBA061D"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3</w:t>
            </w:r>
          </w:p>
        </w:tc>
        <w:tc>
          <w:tcPr>
            <w:tcW w:w="422" w:type="pct"/>
            <w:tcBorders>
              <w:top w:val="nil"/>
            </w:tcBorders>
            <w:shd w:val="clear" w:color="auto" w:fill="auto"/>
            <w:vAlign w:val="center"/>
            <w:hideMark/>
          </w:tcPr>
          <w:p w14:paraId="1A894660"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3DB350F7" w14:textId="77777777" w:rsidTr="000B5206">
        <w:trPr>
          <w:cantSplit/>
          <w:trHeight w:val="144"/>
        </w:trPr>
        <w:tc>
          <w:tcPr>
            <w:tcW w:w="622" w:type="pct"/>
            <w:vMerge/>
            <w:tcBorders>
              <w:top w:val="nil"/>
              <w:bottom w:val="single" w:sz="4" w:space="0" w:color="auto"/>
            </w:tcBorders>
            <w:shd w:val="clear" w:color="auto" w:fill="auto"/>
            <w:vAlign w:val="center"/>
            <w:hideMark/>
          </w:tcPr>
          <w:p w14:paraId="66069030"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bottom w:val="single" w:sz="4" w:space="0" w:color="auto"/>
            </w:tcBorders>
            <w:shd w:val="clear" w:color="auto" w:fill="auto"/>
            <w:vAlign w:val="center"/>
            <w:hideMark/>
          </w:tcPr>
          <w:p w14:paraId="24D6671E"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bottom w:val="single" w:sz="4" w:space="0" w:color="auto"/>
            </w:tcBorders>
            <w:shd w:val="clear" w:color="auto" w:fill="auto"/>
            <w:vAlign w:val="center"/>
            <w:hideMark/>
          </w:tcPr>
          <w:p w14:paraId="503EB00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Employee Well-being &amp; Safety</w:t>
            </w:r>
          </w:p>
        </w:tc>
        <w:tc>
          <w:tcPr>
            <w:tcW w:w="622" w:type="pct"/>
            <w:tcBorders>
              <w:top w:val="nil"/>
              <w:bottom w:val="single" w:sz="4" w:space="0" w:color="auto"/>
            </w:tcBorders>
            <w:shd w:val="clear" w:color="auto" w:fill="auto"/>
            <w:vAlign w:val="center"/>
            <w:hideMark/>
          </w:tcPr>
          <w:p w14:paraId="0FF3FD59"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3</w:t>
            </w:r>
          </w:p>
        </w:tc>
        <w:tc>
          <w:tcPr>
            <w:tcW w:w="422" w:type="pct"/>
            <w:tcBorders>
              <w:top w:val="nil"/>
              <w:bottom w:val="single" w:sz="4" w:space="0" w:color="auto"/>
            </w:tcBorders>
            <w:shd w:val="clear" w:color="auto" w:fill="auto"/>
            <w:vAlign w:val="center"/>
            <w:hideMark/>
          </w:tcPr>
          <w:p w14:paraId="1E4AFC07"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160C0EEE" w14:textId="77777777" w:rsidTr="000B5206">
        <w:trPr>
          <w:cantSplit/>
          <w:trHeight w:val="144"/>
        </w:trPr>
        <w:tc>
          <w:tcPr>
            <w:tcW w:w="622" w:type="pct"/>
            <w:vMerge/>
            <w:tcBorders>
              <w:top w:val="nil"/>
              <w:bottom w:val="single" w:sz="4" w:space="0" w:color="auto"/>
            </w:tcBorders>
            <w:shd w:val="clear" w:color="auto" w:fill="auto"/>
            <w:vAlign w:val="center"/>
            <w:hideMark/>
          </w:tcPr>
          <w:p w14:paraId="2335E4F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val="restart"/>
            <w:tcBorders>
              <w:top w:val="single" w:sz="4" w:space="0" w:color="auto"/>
            </w:tcBorders>
            <w:shd w:val="clear" w:color="auto" w:fill="auto"/>
            <w:vAlign w:val="center"/>
            <w:hideMark/>
          </w:tcPr>
          <w:p w14:paraId="659D3A95" w14:textId="04CC0BBE" w:rsidR="000B5206" w:rsidRPr="00C22C47" w:rsidRDefault="0076009A" w:rsidP="000B5206">
            <w:pPr>
              <w:spacing w:before="0" w:after="0" w:line="240" w:lineRule="auto"/>
              <w:jc w:val="center"/>
              <w:rPr>
                <w:rFonts w:eastAsia="Times New Roman" w:cstheme="minorHAnsi"/>
                <w:color w:val="000000" w:themeColor="text1"/>
                <w:kern w:val="0"/>
                <w:sz w:val="19"/>
                <w:szCs w:val="19"/>
                <w14:ligatures w14:val="none"/>
              </w:rPr>
            </w:pPr>
            <w:hyperlink w:anchor="_Equality_and_Fairness" w:history="1">
              <w:r w:rsidR="000B5206" w:rsidRPr="002621BB">
                <w:rPr>
                  <w:rStyle w:val="Hyperlink"/>
                  <w:rFonts w:eastAsia="Times New Roman" w:cstheme="minorHAnsi"/>
                  <w:kern w:val="0"/>
                  <w:sz w:val="19"/>
                  <w:szCs w:val="19"/>
                  <w14:ligatures w14:val="none"/>
                </w:rPr>
                <w:t>Equality and Fairness</w:t>
              </w:r>
            </w:hyperlink>
          </w:p>
        </w:tc>
        <w:tc>
          <w:tcPr>
            <w:tcW w:w="2563" w:type="pct"/>
            <w:tcBorders>
              <w:top w:val="single" w:sz="4" w:space="0" w:color="auto"/>
            </w:tcBorders>
            <w:shd w:val="clear" w:color="auto" w:fill="auto"/>
            <w:vAlign w:val="center"/>
            <w:hideMark/>
          </w:tcPr>
          <w:p w14:paraId="5BDD4D1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Fairness in Workplace</w:t>
            </w:r>
          </w:p>
        </w:tc>
        <w:tc>
          <w:tcPr>
            <w:tcW w:w="622" w:type="pct"/>
            <w:tcBorders>
              <w:top w:val="single" w:sz="4" w:space="0" w:color="auto"/>
            </w:tcBorders>
            <w:shd w:val="clear" w:color="auto" w:fill="auto"/>
            <w:vAlign w:val="center"/>
            <w:hideMark/>
          </w:tcPr>
          <w:p w14:paraId="53E2E82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8,10</w:t>
            </w:r>
          </w:p>
        </w:tc>
        <w:tc>
          <w:tcPr>
            <w:tcW w:w="422" w:type="pct"/>
            <w:tcBorders>
              <w:top w:val="single" w:sz="4" w:space="0" w:color="auto"/>
            </w:tcBorders>
            <w:shd w:val="clear" w:color="auto" w:fill="auto"/>
            <w:vAlign w:val="center"/>
            <w:hideMark/>
          </w:tcPr>
          <w:p w14:paraId="42F04175"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5C0A97F7" w14:textId="77777777" w:rsidTr="000B5206">
        <w:trPr>
          <w:cantSplit/>
          <w:trHeight w:val="144"/>
        </w:trPr>
        <w:tc>
          <w:tcPr>
            <w:tcW w:w="622" w:type="pct"/>
            <w:vMerge/>
            <w:tcBorders>
              <w:top w:val="nil"/>
              <w:bottom w:val="single" w:sz="4" w:space="0" w:color="auto"/>
            </w:tcBorders>
            <w:shd w:val="clear" w:color="auto" w:fill="auto"/>
            <w:vAlign w:val="center"/>
            <w:hideMark/>
          </w:tcPr>
          <w:p w14:paraId="67A589BD"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54A20A39"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676F227E"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Discrimination Incidents</w:t>
            </w:r>
          </w:p>
        </w:tc>
        <w:tc>
          <w:tcPr>
            <w:tcW w:w="622" w:type="pct"/>
            <w:tcBorders>
              <w:top w:val="nil"/>
            </w:tcBorders>
            <w:shd w:val="clear" w:color="auto" w:fill="auto"/>
            <w:vAlign w:val="center"/>
            <w:hideMark/>
          </w:tcPr>
          <w:p w14:paraId="2D8B2A4B"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5</w:t>
            </w:r>
          </w:p>
        </w:tc>
        <w:tc>
          <w:tcPr>
            <w:tcW w:w="422" w:type="pct"/>
            <w:tcBorders>
              <w:top w:val="nil"/>
            </w:tcBorders>
            <w:shd w:val="clear" w:color="auto" w:fill="auto"/>
            <w:vAlign w:val="center"/>
            <w:hideMark/>
          </w:tcPr>
          <w:p w14:paraId="4EE25603"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377C945D" w14:textId="77777777" w:rsidTr="000B5206">
        <w:trPr>
          <w:cantSplit/>
          <w:trHeight w:val="144"/>
        </w:trPr>
        <w:tc>
          <w:tcPr>
            <w:tcW w:w="622" w:type="pct"/>
            <w:vMerge/>
            <w:tcBorders>
              <w:top w:val="nil"/>
              <w:bottom w:val="single" w:sz="4" w:space="0" w:color="auto"/>
            </w:tcBorders>
            <w:shd w:val="clear" w:color="auto" w:fill="auto"/>
            <w:vAlign w:val="center"/>
            <w:hideMark/>
          </w:tcPr>
          <w:p w14:paraId="1D74C7A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241B50B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46F4658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Child Labor Risk</w:t>
            </w:r>
          </w:p>
        </w:tc>
        <w:tc>
          <w:tcPr>
            <w:tcW w:w="622" w:type="pct"/>
            <w:tcBorders>
              <w:top w:val="nil"/>
            </w:tcBorders>
            <w:shd w:val="clear" w:color="auto" w:fill="auto"/>
            <w:vAlign w:val="center"/>
            <w:hideMark/>
          </w:tcPr>
          <w:p w14:paraId="28E7DF36"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8</w:t>
            </w:r>
          </w:p>
        </w:tc>
        <w:tc>
          <w:tcPr>
            <w:tcW w:w="422" w:type="pct"/>
            <w:tcBorders>
              <w:top w:val="nil"/>
            </w:tcBorders>
            <w:shd w:val="clear" w:color="auto" w:fill="auto"/>
            <w:vAlign w:val="center"/>
            <w:hideMark/>
          </w:tcPr>
          <w:p w14:paraId="626AD50F"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0AFE4F3A" w14:textId="77777777" w:rsidTr="000B5206">
        <w:trPr>
          <w:cantSplit/>
          <w:trHeight w:val="144"/>
        </w:trPr>
        <w:tc>
          <w:tcPr>
            <w:tcW w:w="622" w:type="pct"/>
            <w:vMerge/>
            <w:tcBorders>
              <w:top w:val="nil"/>
              <w:bottom w:val="single" w:sz="4" w:space="0" w:color="auto"/>
            </w:tcBorders>
            <w:shd w:val="clear" w:color="auto" w:fill="auto"/>
            <w:vAlign w:val="center"/>
            <w:hideMark/>
          </w:tcPr>
          <w:p w14:paraId="41548D8D"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63C724ED"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69E0759B"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Governance &amp; Employee Diversity</w:t>
            </w:r>
          </w:p>
        </w:tc>
        <w:tc>
          <w:tcPr>
            <w:tcW w:w="622" w:type="pct"/>
            <w:tcBorders>
              <w:top w:val="nil"/>
            </w:tcBorders>
            <w:shd w:val="clear" w:color="auto" w:fill="auto"/>
            <w:vAlign w:val="center"/>
            <w:hideMark/>
          </w:tcPr>
          <w:p w14:paraId="630CAF85"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5</w:t>
            </w:r>
          </w:p>
        </w:tc>
        <w:tc>
          <w:tcPr>
            <w:tcW w:w="422" w:type="pct"/>
            <w:tcBorders>
              <w:top w:val="nil"/>
            </w:tcBorders>
            <w:shd w:val="clear" w:color="auto" w:fill="auto"/>
            <w:vAlign w:val="center"/>
            <w:hideMark/>
          </w:tcPr>
          <w:p w14:paraId="78B676F3"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016B46F6" w14:textId="77777777" w:rsidTr="000B5206">
        <w:trPr>
          <w:cantSplit/>
          <w:trHeight w:val="144"/>
        </w:trPr>
        <w:tc>
          <w:tcPr>
            <w:tcW w:w="622" w:type="pct"/>
            <w:vMerge/>
            <w:tcBorders>
              <w:top w:val="nil"/>
              <w:bottom w:val="single" w:sz="4" w:space="0" w:color="auto"/>
            </w:tcBorders>
            <w:shd w:val="clear" w:color="auto" w:fill="auto"/>
            <w:vAlign w:val="center"/>
            <w:hideMark/>
          </w:tcPr>
          <w:p w14:paraId="59321CCA"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bottom w:val="single" w:sz="4" w:space="0" w:color="auto"/>
            </w:tcBorders>
            <w:shd w:val="clear" w:color="auto" w:fill="auto"/>
            <w:vAlign w:val="center"/>
            <w:hideMark/>
          </w:tcPr>
          <w:p w14:paraId="72875E7A"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bottom w:val="single" w:sz="4" w:space="0" w:color="auto"/>
            </w:tcBorders>
            <w:shd w:val="clear" w:color="auto" w:fill="auto"/>
            <w:vAlign w:val="center"/>
            <w:hideMark/>
          </w:tcPr>
          <w:p w14:paraId="4E405A2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Gender Salary Ratio</w:t>
            </w:r>
          </w:p>
        </w:tc>
        <w:tc>
          <w:tcPr>
            <w:tcW w:w="622" w:type="pct"/>
            <w:tcBorders>
              <w:top w:val="nil"/>
              <w:bottom w:val="single" w:sz="4" w:space="0" w:color="auto"/>
            </w:tcBorders>
            <w:shd w:val="clear" w:color="auto" w:fill="auto"/>
            <w:vAlign w:val="center"/>
            <w:hideMark/>
          </w:tcPr>
          <w:p w14:paraId="15CEFF9B"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5</w:t>
            </w:r>
          </w:p>
        </w:tc>
        <w:tc>
          <w:tcPr>
            <w:tcW w:w="422" w:type="pct"/>
            <w:tcBorders>
              <w:top w:val="nil"/>
              <w:bottom w:val="single" w:sz="4" w:space="0" w:color="auto"/>
            </w:tcBorders>
            <w:shd w:val="clear" w:color="auto" w:fill="auto"/>
            <w:vAlign w:val="center"/>
            <w:hideMark/>
          </w:tcPr>
          <w:p w14:paraId="41309FB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216862C6" w14:textId="77777777" w:rsidTr="000B5206">
        <w:trPr>
          <w:cantSplit/>
          <w:trHeight w:val="144"/>
        </w:trPr>
        <w:tc>
          <w:tcPr>
            <w:tcW w:w="622" w:type="pct"/>
            <w:vMerge/>
            <w:tcBorders>
              <w:top w:val="nil"/>
              <w:bottom w:val="single" w:sz="4" w:space="0" w:color="auto"/>
            </w:tcBorders>
            <w:shd w:val="clear" w:color="auto" w:fill="auto"/>
            <w:vAlign w:val="center"/>
            <w:hideMark/>
          </w:tcPr>
          <w:p w14:paraId="0B8DEFF0"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val="restart"/>
            <w:tcBorders>
              <w:top w:val="single" w:sz="4" w:space="0" w:color="auto"/>
            </w:tcBorders>
            <w:shd w:val="clear" w:color="auto" w:fill="auto"/>
            <w:vAlign w:val="center"/>
            <w:hideMark/>
          </w:tcPr>
          <w:p w14:paraId="5F3A6FE0" w14:textId="79734FA8" w:rsidR="000B5206" w:rsidRPr="00C22C47" w:rsidRDefault="0076009A" w:rsidP="000B5206">
            <w:pPr>
              <w:spacing w:before="0" w:after="0" w:line="240" w:lineRule="auto"/>
              <w:jc w:val="center"/>
              <w:rPr>
                <w:rFonts w:eastAsia="Times New Roman" w:cstheme="minorHAnsi"/>
                <w:color w:val="000000" w:themeColor="text1"/>
                <w:kern w:val="0"/>
                <w:sz w:val="19"/>
                <w:szCs w:val="19"/>
                <w14:ligatures w14:val="none"/>
              </w:rPr>
            </w:pPr>
            <w:hyperlink w:anchor="_Local_Development" w:history="1">
              <w:r w:rsidR="000B5206" w:rsidRPr="002621BB">
                <w:rPr>
                  <w:rStyle w:val="Hyperlink"/>
                  <w:rFonts w:eastAsia="Times New Roman" w:cstheme="minorHAnsi"/>
                  <w:kern w:val="0"/>
                  <w:sz w:val="19"/>
                  <w:szCs w:val="19"/>
                  <w14:ligatures w14:val="none"/>
                </w:rPr>
                <w:t>Local Development</w:t>
              </w:r>
            </w:hyperlink>
          </w:p>
        </w:tc>
        <w:tc>
          <w:tcPr>
            <w:tcW w:w="2563" w:type="pct"/>
            <w:tcBorders>
              <w:top w:val="single" w:sz="4" w:space="0" w:color="auto"/>
            </w:tcBorders>
            <w:shd w:val="clear" w:color="auto" w:fill="auto"/>
            <w:vAlign w:val="center"/>
            <w:hideMark/>
          </w:tcPr>
          <w:p w14:paraId="5FE2D7BA" w14:textId="20143B63"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Benefited residents</w:t>
            </w:r>
          </w:p>
        </w:tc>
        <w:tc>
          <w:tcPr>
            <w:tcW w:w="622" w:type="pct"/>
            <w:tcBorders>
              <w:top w:val="single" w:sz="4" w:space="0" w:color="auto"/>
            </w:tcBorders>
            <w:shd w:val="clear" w:color="auto" w:fill="auto"/>
            <w:vAlign w:val="center"/>
            <w:hideMark/>
          </w:tcPr>
          <w:p w14:paraId="1C7AD995"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1,8, 11</w:t>
            </w:r>
          </w:p>
        </w:tc>
        <w:tc>
          <w:tcPr>
            <w:tcW w:w="422" w:type="pct"/>
            <w:tcBorders>
              <w:top w:val="single" w:sz="4" w:space="0" w:color="auto"/>
            </w:tcBorders>
            <w:shd w:val="clear" w:color="auto" w:fill="auto"/>
            <w:vAlign w:val="center"/>
            <w:hideMark/>
          </w:tcPr>
          <w:p w14:paraId="2FF9E8E5"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1B13A254" w14:textId="77777777" w:rsidTr="000B5206">
        <w:trPr>
          <w:cantSplit/>
          <w:trHeight w:val="144"/>
        </w:trPr>
        <w:tc>
          <w:tcPr>
            <w:tcW w:w="622" w:type="pct"/>
            <w:vMerge/>
            <w:tcBorders>
              <w:top w:val="nil"/>
              <w:bottom w:val="single" w:sz="4" w:space="0" w:color="auto"/>
            </w:tcBorders>
            <w:shd w:val="clear" w:color="auto" w:fill="auto"/>
            <w:vAlign w:val="center"/>
            <w:hideMark/>
          </w:tcPr>
          <w:p w14:paraId="3CA207A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2F0C03E2"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7AFDBEC1"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Rural Development</w:t>
            </w:r>
          </w:p>
        </w:tc>
        <w:tc>
          <w:tcPr>
            <w:tcW w:w="622" w:type="pct"/>
            <w:tcBorders>
              <w:top w:val="nil"/>
            </w:tcBorders>
            <w:shd w:val="clear" w:color="auto" w:fill="auto"/>
            <w:vAlign w:val="center"/>
            <w:hideMark/>
          </w:tcPr>
          <w:p w14:paraId="738BE127"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1,2</w:t>
            </w:r>
          </w:p>
        </w:tc>
        <w:tc>
          <w:tcPr>
            <w:tcW w:w="422" w:type="pct"/>
            <w:tcBorders>
              <w:top w:val="nil"/>
            </w:tcBorders>
            <w:shd w:val="clear" w:color="auto" w:fill="auto"/>
            <w:vAlign w:val="center"/>
            <w:hideMark/>
          </w:tcPr>
          <w:p w14:paraId="58499CDD"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LR</w:t>
            </w:r>
          </w:p>
        </w:tc>
      </w:tr>
      <w:tr w:rsidR="00C22C47" w:rsidRPr="00C22C47" w14:paraId="00C60BAB" w14:textId="77777777" w:rsidTr="000B5206">
        <w:trPr>
          <w:cantSplit/>
          <w:trHeight w:val="144"/>
        </w:trPr>
        <w:tc>
          <w:tcPr>
            <w:tcW w:w="622" w:type="pct"/>
            <w:vMerge/>
            <w:tcBorders>
              <w:top w:val="nil"/>
              <w:bottom w:val="single" w:sz="4" w:space="0" w:color="auto"/>
            </w:tcBorders>
            <w:shd w:val="clear" w:color="auto" w:fill="auto"/>
            <w:vAlign w:val="center"/>
            <w:hideMark/>
          </w:tcPr>
          <w:p w14:paraId="5B473466"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55B21C9F"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2D00EB5C"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Local development</w:t>
            </w:r>
          </w:p>
        </w:tc>
        <w:tc>
          <w:tcPr>
            <w:tcW w:w="622" w:type="pct"/>
            <w:tcBorders>
              <w:top w:val="nil"/>
            </w:tcBorders>
            <w:shd w:val="clear" w:color="auto" w:fill="auto"/>
            <w:vAlign w:val="center"/>
            <w:hideMark/>
          </w:tcPr>
          <w:p w14:paraId="1751FBF8"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11</w:t>
            </w:r>
          </w:p>
        </w:tc>
        <w:tc>
          <w:tcPr>
            <w:tcW w:w="422" w:type="pct"/>
            <w:tcBorders>
              <w:top w:val="nil"/>
            </w:tcBorders>
            <w:shd w:val="clear" w:color="auto" w:fill="auto"/>
            <w:vAlign w:val="center"/>
            <w:hideMark/>
          </w:tcPr>
          <w:p w14:paraId="3F3C20E0"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2AF8004F" w14:textId="77777777" w:rsidTr="000B5206">
        <w:trPr>
          <w:cantSplit/>
          <w:trHeight w:val="144"/>
        </w:trPr>
        <w:tc>
          <w:tcPr>
            <w:tcW w:w="622" w:type="pct"/>
            <w:vMerge/>
            <w:tcBorders>
              <w:top w:val="nil"/>
              <w:bottom w:val="single" w:sz="4" w:space="0" w:color="auto"/>
            </w:tcBorders>
            <w:shd w:val="clear" w:color="auto" w:fill="auto"/>
            <w:vAlign w:val="center"/>
            <w:hideMark/>
          </w:tcPr>
          <w:p w14:paraId="48BA4DE0"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tcBorders>
            <w:shd w:val="clear" w:color="auto" w:fill="auto"/>
            <w:vAlign w:val="center"/>
            <w:hideMark/>
          </w:tcPr>
          <w:p w14:paraId="2E4A7167"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tcBorders>
            <w:shd w:val="clear" w:color="auto" w:fill="auto"/>
            <w:vAlign w:val="center"/>
            <w:hideMark/>
          </w:tcPr>
          <w:p w14:paraId="78ED585A"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Indigenous Rights Violations</w:t>
            </w:r>
          </w:p>
        </w:tc>
        <w:tc>
          <w:tcPr>
            <w:tcW w:w="622" w:type="pct"/>
            <w:tcBorders>
              <w:top w:val="nil"/>
            </w:tcBorders>
            <w:shd w:val="clear" w:color="auto" w:fill="auto"/>
            <w:vAlign w:val="center"/>
            <w:hideMark/>
          </w:tcPr>
          <w:p w14:paraId="44637007"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16</w:t>
            </w:r>
          </w:p>
        </w:tc>
        <w:tc>
          <w:tcPr>
            <w:tcW w:w="422" w:type="pct"/>
            <w:tcBorders>
              <w:top w:val="nil"/>
            </w:tcBorders>
            <w:shd w:val="clear" w:color="auto" w:fill="auto"/>
            <w:vAlign w:val="center"/>
            <w:hideMark/>
          </w:tcPr>
          <w:p w14:paraId="35CD95C9"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r w:rsidR="00C22C47" w:rsidRPr="00C22C47" w14:paraId="2DFEC41A" w14:textId="77777777" w:rsidTr="000B5206">
        <w:trPr>
          <w:cantSplit/>
          <w:trHeight w:val="144"/>
        </w:trPr>
        <w:tc>
          <w:tcPr>
            <w:tcW w:w="622" w:type="pct"/>
            <w:vMerge/>
            <w:tcBorders>
              <w:top w:val="nil"/>
              <w:bottom w:val="single" w:sz="4" w:space="0" w:color="auto"/>
            </w:tcBorders>
            <w:shd w:val="clear" w:color="auto" w:fill="auto"/>
            <w:vAlign w:val="center"/>
            <w:hideMark/>
          </w:tcPr>
          <w:p w14:paraId="0730AAB3"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771" w:type="pct"/>
            <w:vMerge/>
            <w:tcBorders>
              <w:top w:val="nil"/>
              <w:bottom w:val="single" w:sz="4" w:space="0" w:color="auto"/>
            </w:tcBorders>
            <w:shd w:val="clear" w:color="auto" w:fill="auto"/>
            <w:vAlign w:val="center"/>
            <w:hideMark/>
          </w:tcPr>
          <w:p w14:paraId="711139E4"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p>
        </w:tc>
        <w:tc>
          <w:tcPr>
            <w:tcW w:w="2563" w:type="pct"/>
            <w:tcBorders>
              <w:top w:val="nil"/>
              <w:bottom w:val="single" w:sz="4" w:space="0" w:color="auto"/>
            </w:tcBorders>
            <w:shd w:val="clear" w:color="auto" w:fill="auto"/>
            <w:vAlign w:val="center"/>
            <w:hideMark/>
          </w:tcPr>
          <w:p w14:paraId="3CE6C7C1"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Community Engagement</w:t>
            </w:r>
          </w:p>
        </w:tc>
        <w:tc>
          <w:tcPr>
            <w:tcW w:w="622" w:type="pct"/>
            <w:tcBorders>
              <w:top w:val="nil"/>
              <w:bottom w:val="single" w:sz="4" w:space="0" w:color="auto"/>
            </w:tcBorders>
            <w:shd w:val="clear" w:color="auto" w:fill="auto"/>
            <w:vAlign w:val="center"/>
            <w:hideMark/>
          </w:tcPr>
          <w:p w14:paraId="7C8A0E8D"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11</w:t>
            </w:r>
          </w:p>
        </w:tc>
        <w:tc>
          <w:tcPr>
            <w:tcW w:w="422" w:type="pct"/>
            <w:tcBorders>
              <w:top w:val="nil"/>
              <w:bottom w:val="single" w:sz="4" w:space="0" w:color="auto"/>
            </w:tcBorders>
            <w:shd w:val="clear" w:color="auto" w:fill="auto"/>
            <w:vAlign w:val="center"/>
            <w:hideMark/>
          </w:tcPr>
          <w:p w14:paraId="575D3673" w14:textId="77777777" w:rsidR="000B5206" w:rsidRPr="00C22C47" w:rsidRDefault="000B5206" w:rsidP="000B5206">
            <w:pPr>
              <w:spacing w:before="0" w:after="0" w:line="240" w:lineRule="auto"/>
              <w:jc w:val="center"/>
              <w:rPr>
                <w:rFonts w:eastAsia="Times New Roman" w:cstheme="minorHAnsi"/>
                <w:color w:val="000000" w:themeColor="text1"/>
                <w:kern w:val="0"/>
                <w:sz w:val="19"/>
                <w:szCs w:val="19"/>
                <w14:ligatures w14:val="none"/>
              </w:rPr>
            </w:pPr>
            <w:r w:rsidRPr="00C22C47">
              <w:rPr>
                <w:rFonts w:eastAsia="Times New Roman" w:cstheme="minorHAnsi"/>
                <w:color w:val="000000" w:themeColor="text1"/>
                <w:kern w:val="0"/>
                <w:sz w:val="19"/>
                <w:szCs w:val="19"/>
                <w14:ligatures w14:val="none"/>
              </w:rPr>
              <w:t>SS</w:t>
            </w:r>
          </w:p>
        </w:tc>
      </w:tr>
    </w:tbl>
    <w:p w14:paraId="56789296" w14:textId="129ADEA1" w:rsidR="00000CDE" w:rsidRPr="00C22C47" w:rsidRDefault="0011736E" w:rsidP="00D85954">
      <w:pPr>
        <w:rPr>
          <w:color w:val="000000" w:themeColor="text1"/>
        </w:rPr>
      </w:pPr>
      <w:r w:rsidRPr="00C22C47">
        <w:rPr>
          <w:color w:val="000000" w:themeColor="text1"/>
        </w:rPr>
        <w:t xml:space="preserve">Note: SS – Sustainability </w:t>
      </w:r>
      <w:r w:rsidR="00C13D24" w:rsidRPr="00C22C47">
        <w:rPr>
          <w:color w:val="000000" w:themeColor="text1"/>
        </w:rPr>
        <w:t>Standard</w:t>
      </w:r>
      <w:r w:rsidRPr="00C22C47">
        <w:rPr>
          <w:color w:val="000000" w:themeColor="text1"/>
        </w:rPr>
        <w:t xml:space="preserve">. LR – Literature </w:t>
      </w:r>
      <w:r w:rsidR="00C13D24" w:rsidRPr="00C22C47">
        <w:rPr>
          <w:color w:val="000000" w:themeColor="text1"/>
        </w:rPr>
        <w:t>Resource</w:t>
      </w:r>
    </w:p>
    <w:p w14:paraId="19D11DAC" w14:textId="585D0F8C" w:rsidR="4702BE58" w:rsidRPr="00C22C47" w:rsidRDefault="00367729" w:rsidP="00D077F9">
      <w:r w:rsidRPr="00367729">
        <w:t>To establish sustainability standards within a particular industry, it's crucial to customize the framework to align with that specific industry's characteristics and practices. The measurement and calculation of qualitative metrics for the oil and gas industry, for instance, would naturally differ from those used in the renewable energy sector. Therefore, to enhance comprehension and practicality, it is essential to define a system boundary before implementing the standard. This boundary serves the purpose of clearly outlining the study's scope and the elements it encompasses.</w:t>
      </w:r>
      <w:r w:rsidRPr="00367729" w:rsidDel="004131E7">
        <w:t xml:space="preserve"> </w:t>
      </w:r>
      <w:r w:rsidR="00251F96" w:rsidRPr="00C22C47">
        <w:t xml:space="preserve">Tools </w:t>
      </w:r>
      <w:r w:rsidR="004F421C" w:rsidRPr="00C22C47">
        <w:t xml:space="preserve">to Measure and Monitor </w:t>
      </w:r>
      <w:r w:rsidR="00251F96" w:rsidRPr="00C22C47">
        <w:t xml:space="preserve">Sustainability </w:t>
      </w:r>
      <w:r w:rsidR="00A976B3" w:rsidRPr="00C22C47">
        <w:t>Metrics</w:t>
      </w:r>
      <w:r w:rsidR="3C29C6B3" w:rsidRPr="00C22C47">
        <w:t xml:space="preserve"> and </w:t>
      </w:r>
      <w:r w:rsidR="00A976B3" w:rsidRPr="00C22C47">
        <w:t>Progress</w:t>
      </w:r>
    </w:p>
    <w:p w14:paraId="7DCA1C6D" w14:textId="146EBC3C" w:rsidR="007513CA" w:rsidRPr="00C22C47" w:rsidRDefault="000F112B" w:rsidP="00F80D1B">
      <w:pPr>
        <w:pStyle w:val="Heading1"/>
      </w:pPr>
      <w:bookmarkStart w:id="30" w:name="_Toc146147247"/>
      <w:bookmarkStart w:id="31" w:name="_Toc146147248"/>
      <w:bookmarkStart w:id="32" w:name="_Toc146147249"/>
      <w:bookmarkStart w:id="33" w:name="_Toc146147250"/>
      <w:bookmarkEnd w:id="30"/>
      <w:bookmarkEnd w:id="31"/>
      <w:bookmarkEnd w:id="32"/>
      <w:r w:rsidRPr="00C22C47">
        <w:t>Conclusion</w:t>
      </w:r>
      <w:bookmarkEnd w:id="33"/>
    </w:p>
    <w:p w14:paraId="35B59C4F" w14:textId="4F7F1F3D" w:rsidR="007513CA" w:rsidRPr="00C22C47" w:rsidRDefault="007513CA" w:rsidP="00FB3C63">
      <w:pPr>
        <w:rPr>
          <w:color w:val="000000" w:themeColor="text1"/>
        </w:rPr>
      </w:pPr>
      <w:r w:rsidRPr="00C22C47">
        <w:rPr>
          <w:color w:val="000000" w:themeColor="text1"/>
        </w:rPr>
        <w:t xml:space="preserve">This paper </w:t>
      </w:r>
      <w:r w:rsidR="00622529" w:rsidRPr="00C22C47">
        <w:rPr>
          <w:color w:val="000000" w:themeColor="text1"/>
        </w:rPr>
        <w:t xml:space="preserve">first </w:t>
      </w:r>
      <w:r w:rsidRPr="00C22C47">
        <w:rPr>
          <w:color w:val="000000" w:themeColor="text1"/>
        </w:rPr>
        <w:t>outline</w:t>
      </w:r>
      <w:r w:rsidR="00622529" w:rsidRPr="00C22C47">
        <w:rPr>
          <w:color w:val="000000" w:themeColor="text1"/>
        </w:rPr>
        <w:t>d</w:t>
      </w:r>
      <w:r w:rsidRPr="00C22C47">
        <w:rPr>
          <w:color w:val="000000" w:themeColor="text1"/>
        </w:rPr>
        <w:t xml:space="preserve"> some of the major metrics considered today, when evaluating sustainability of hydrogen projects. </w:t>
      </w:r>
      <w:r w:rsidR="00622529" w:rsidRPr="00C22C47">
        <w:rPr>
          <w:color w:val="000000" w:themeColor="text1"/>
        </w:rPr>
        <w:t>These</w:t>
      </w:r>
      <w:r w:rsidRPr="00C22C47">
        <w:rPr>
          <w:color w:val="000000" w:themeColor="text1"/>
        </w:rPr>
        <w:t xml:space="preserve"> metrics are </w:t>
      </w:r>
      <w:r w:rsidR="00622529" w:rsidRPr="00C22C47">
        <w:rPr>
          <w:color w:val="000000" w:themeColor="text1"/>
        </w:rPr>
        <w:t xml:space="preserve">currently </w:t>
      </w:r>
      <w:r w:rsidRPr="00C22C47">
        <w:rPr>
          <w:color w:val="000000" w:themeColor="text1"/>
        </w:rPr>
        <w:t xml:space="preserve">limited to ones that are economic, technical, or environmental in nature such as return on investment, energy efficiency, greenhouse gas emissions, or water usage. </w:t>
      </w:r>
      <w:r w:rsidR="00622529" w:rsidRPr="00C22C47">
        <w:rPr>
          <w:color w:val="000000" w:themeColor="text1"/>
        </w:rPr>
        <w:t>T</w:t>
      </w:r>
      <w:r w:rsidRPr="00C22C47">
        <w:rPr>
          <w:color w:val="000000" w:themeColor="text1"/>
        </w:rPr>
        <w:t xml:space="preserve">here is a need to expand </w:t>
      </w:r>
      <w:r w:rsidR="00622529" w:rsidRPr="00C22C47">
        <w:rPr>
          <w:color w:val="000000" w:themeColor="text1"/>
        </w:rPr>
        <w:t>the</w:t>
      </w:r>
      <w:r w:rsidRPr="00C22C47">
        <w:rPr>
          <w:color w:val="000000" w:themeColor="text1"/>
        </w:rPr>
        <w:t xml:space="preserve"> scope of sustainability metrics to include metrics specific to social welfare, diversity, and inclusion, for instance.</w:t>
      </w:r>
    </w:p>
    <w:p w14:paraId="5D8E2112" w14:textId="0080F8C1" w:rsidR="007513CA" w:rsidRPr="00C22C47" w:rsidRDefault="6AAA64F2" w:rsidP="00F80D1B">
      <w:pPr>
        <w:pStyle w:val="Heading2"/>
      </w:pPr>
      <w:bookmarkStart w:id="34" w:name="_Toc146147251"/>
      <w:r w:rsidRPr="00C22C47">
        <w:t>Organizations</w:t>
      </w:r>
      <w:bookmarkEnd w:id="34"/>
    </w:p>
    <w:p w14:paraId="0C8D1A71" w14:textId="1531536A" w:rsidR="6AAA64F2" w:rsidRPr="00C22C47" w:rsidRDefault="6AAA64F2" w:rsidP="002474BF">
      <w:pPr>
        <w:pStyle w:val="ListParagraph"/>
        <w:numPr>
          <w:ilvl w:val="0"/>
          <w:numId w:val="3"/>
        </w:numPr>
        <w:rPr>
          <w:color w:val="000000" w:themeColor="text1"/>
        </w:rPr>
      </w:pPr>
      <w:r w:rsidRPr="00C22C47">
        <w:rPr>
          <w:color w:val="000000" w:themeColor="text1"/>
        </w:rPr>
        <w:t>NEPA</w:t>
      </w:r>
    </w:p>
    <w:p w14:paraId="05261842" w14:textId="1479FB45" w:rsidR="6AAA64F2" w:rsidRPr="00C22C47" w:rsidRDefault="6AAA64F2" w:rsidP="002474BF">
      <w:pPr>
        <w:pStyle w:val="ListParagraph"/>
        <w:numPr>
          <w:ilvl w:val="0"/>
          <w:numId w:val="3"/>
        </w:numPr>
        <w:rPr>
          <w:color w:val="000000" w:themeColor="text1"/>
        </w:rPr>
      </w:pPr>
      <w:r w:rsidRPr="00C22C47">
        <w:rPr>
          <w:color w:val="000000" w:themeColor="text1"/>
        </w:rPr>
        <w:t>EPA</w:t>
      </w:r>
    </w:p>
    <w:p w14:paraId="530B84EB" w14:textId="3BD2F50E" w:rsidR="6AAA64F2" w:rsidRPr="00C22C47" w:rsidRDefault="6AAA64F2" w:rsidP="002474BF">
      <w:pPr>
        <w:pStyle w:val="ListParagraph"/>
        <w:numPr>
          <w:ilvl w:val="0"/>
          <w:numId w:val="3"/>
        </w:numPr>
        <w:rPr>
          <w:color w:val="000000" w:themeColor="text1"/>
        </w:rPr>
      </w:pPr>
      <w:r w:rsidRPr="00C22C47">
        <w:rPr>
          <w:color w:val="000000" w:themeColor="text1"/>
        </w:rPr>
        <w:t>OSHA</w:t>
      </w:r>
    </w:p>
    <w:p w14:paraId="5BBD533B" w14:textId="61C2FE53" w:rsidR="6AAA64F2" w:rsidRPr="00C22C47" w:rsidRDefault="6AAA64F2" w:rsidP="002474BF">
      <w:pPr>
        <w:pStyle w:val="ListParagraph"/>
        <w:numPr>
          <w:ilvl w:val="0"/>
          <w:numId w:val="3"/>
        </w:numPr>
        <w:rPr>
          <w:color w:val="000000" w:themeColor="text1"/>
        </w:rPr>
      </w:pPr>
      <w:r w:rsidRPr="00C22C47">
        <w:rPr>
          <w:color w:val="000000" w:themeColor="text1"/>
        </w:rPr>
        <w:t>Air emissions</w:t>
      </w:r>
    </w:p>
    <w:p w14:paraId="5F730B0B" w14:textId="2DCA167E" w:rsidR="6AAA64F2" w:rsidRPr="00C22C47" w:rsidRDefault="6AAA64F2" w:rsidP="002474BF">
      <w:pPr>
        <w:pStyle w:val="ListParagraph"/>
        <w:numPr>
          <w:ilvl w:val="0"/>
          <w:numId w:val="3"/>
        </w:numPr>
        <w:rPr>
          <w:color w:val="000000" w:themeColor="text1"/>
        </w:rPr>
      </w:pPr>
      <w:r w:rsidRPr="00C22C47">
        <w:rPr>
          <w:color w:val="000000" w:themeColor="text1"/>
        </w:rPr>
        <w:t>Land usage permitting</w:t>
      </w:r>
    </w:p>
    <w:p w14:paraId="61B646AB" w14:textId="207F5BA5" w:rsidR="6AAA64F2" w:rsidRPr="00C22C47" w:rsidRDefault="6AAA64F2" w:rsidP="002474BF">
      <w:pPr>
        <w:pStyle w:val="ListParagraph"/>
        <w:numPr>
          <w:ilvl w:val="0"/>
          <w:numId w:val="3"/>
        </w:numPr>
        <w:rPr>
          <w:color w:val="000000" w:themeColor="text1"/>
        </w:rPr>
      </w:pPr>
      <w:r w:rsidRPr="00C22C47">
        <w:rPr>
          <w:color w:val="000000" w:themeColor="text1"/>
        </w:rPr>
        <w:t>Water permit/rights</w:t>
      </w:r>
    </w:p>
    <w:p w14:paraId="5CA980B9" w14:textId="7476BA76" w:rsidR="6AAA64F2" w:rsidRPr="00C22C47" w:rsidRDefault="6AAA64F2" w:rsidP="002474BF">
      <w:pPr>
        <w:pStyle w:val="ListParagraph"/>
        <w:numPr>
          <w:ilvl w:val="0"/>
          <w:numId w:val="3"/>
        </w:numPr>
        <w:rPr>
          <w:color w:val="000000" w:themeColor="text1"/>
        </w:rPr>
      </w:pPr>
      <w:r w:rsidRPr="00C22C47">
        <w:rPr>
          <w:color w:val="000000" w:themeColor="text1"/>
        </w:rPr>
        <w:t>SANDIA researcher – authority jurisdiction</w:t>
      </w:r>
      <w:sdt>
        <w:sdtPr>
          <w:rPr>
            <w:color w:val="000000" w:themeColor="text1"/>
          </w:rPr>
          <w:id w:val="-1659682300"/>
          <w:citation/>
        </w:sdtPr>
        <w:sdtContent>
          <w:r w:rsidR="00AE66A6" w:rsidRPr="00C22C47">
            <w:rPr>
              <w:color w:val="000000" w:themeColor="text1"/>
            </w:rPr>
            <w:fldChar w:fldCharType="begin"/>
          </w:r>
          <w:r w:rsidR="00AE66A6" w:rsidRPr="00C22C47">
            <w:rPr>
              <w:color w:val="000000" w:themeColor="text1"/>
            </w:rPr>
            <w:instrText xml:space="preserve"> CITATION LaF23 \l 1033 </w:instrText>
          </w:r>
          <w:r w:rsidR="00AE66A6" w:rsidRPr="00C22C47">
            <w:rPr>
              <w:color w:val="000000" w:themeColor="text1"/>
            </w:rPr>
            <w:fldChar w:fldCharType="separate"/>
          </w:r>
          <w:r w:rsidR="00C03711" w:rsidRPr="00C22C47">
            <w:rPr>
              <w:noProof/>
              <w:color w:val="000000" w:themeColor="text1"/>
            </w:rPr>
            <w:t xml:space="preserve"> (Considerations in Permitting, 2023)</w:t>
          </w:r>
          <w:r w:rsidR="00AE66A6" w:rsidRPr="00C22C47">
            <w:rPr>
              <w:color w:val="000000" w:themeColor="text1"/>
            </w:rPr>
            <w:fldChar w:fldCharType="end"/>
          </w:r>
        </w:sdtContent>
      </w:sdt>
      <w:r w:rsidR="004F03AF" w:rsidRPr="00C22C47">
        <w:rPr>
          <w:color w:val="000000" w:themeColor="text1"/>
        </w:rPr>
        <w:t xml:space="preserve"> – see</w:t>
      </w:r>
      <w:commentRangeStart w:id="35"/>
      <w:r w:rsidR="004F03AF" w:rsidRPr="00C22C47">
        <w:rPr>
          <w:color w:val="000000" w:themeColor="text1"/>
        </w:rPr>
        <w:t xml:space="preserve"> </w:t>
      </w:r>
      <w:r w:rsidRPr="00C22C47">
        <w:rPr>
          <w:color w:val="000000" w:themeColor="text1"/>
        </w:rPr>
        <w:fldChar w:fldCharType="begin"/>
      </w:r>
      <w:r w:rsidRPr="00C22C47">
        <w:rPr>
          <w:color w:val="000000" w:themeColor="text1"/>
        </w:rPr>
        <w:instrText xml:space="preserve"> ADDIN ZOTERO_ITEM CSL_CITATION {"citationID":"aaYQ9OC3","properties":{"formattedCitation":"(LaFleur, 2023)","plainCitation":"(LaFleur, 2023)","noteIndex":0},"citationItems":[{"id":5923,"uris":["http://zotero.org/groups/2753097/items/ANLZUHZ7"],"itemData":{"id":5923,"type":"paper-conference","event-place":"Long Beach, CA","event-title":"Fuel Cell and Hydrogen Energy Seminar","language":"en","publisher-place":"Long Beach, CA","source":"Zotero","title":"Considerations in Permitting","author":[{"family":"LaFleur","given":"Chris"}],"issued":{"date-parts":[["2023"]]},"citation-key":"lafleur2023Considerations"}}],"schema":"https://github.com/citation-style-language/schema/raw/master/csl-citation.json"} </w:instrText>
      </w:r>
      <w:r w:rsidRPr="00C22C47">
        <w:rPr>
          <w:color w:val="000000" w:themeColor="text1"/>
        </w:rPr>
        <w:fldChar w:fldCharType="separate"/>
      </w:r>
      <w:r w:rsidR="006A65A2" w:rsidRPr="00C22C47">
        <w:rPr>
          <w:noProof/>
          <w:color w:val="000000" w:themeColor="text1"/>
        </w:rPr>
        <w:t>(LaFleur, 2023)</w:t>
      </w:r>
      <w:r w:rsidRPr="00C22C47">
        <w:rPr>
          <w:color w:val="000000" w:themeColor="text1"/>
        </w:rPr>
        <w:fldChar w:fldCharType="end"/>
      </w:r>
      <w:commentRangeEnd w:id="35"/>
      <w:r w:rsidRPr="00C22C47">
        <w:rPr>
          <w:rStyle w:val="CommentReference"/>
          <w:color w:val="000000" w:themeColor="text1"/>
        </w:rPr>
        <w:commentReference w:id="35"/>
      </w:r>
    </w:p>
    <w:p w14:paraId="53076896" w14:textId="0820E8D4" w:rsidR="7944EF93" w:rsidRPr="00C22C47" w:rsidRDefault="7944EF93" w:rsidP="002474BF">
      <w:pPr>
        <w:pStyle w:val="ListParagraph"/>
        <w:numPr>
          <w:ilvl w:val="0"/>
          <w:numId w:val="3"/>
        </w:numPr>
        <w:rPr>
          <w:color w:val="000000" w:themeColor="text1"/>
        </w:rPr>
      </w:pPr>
      <w:r w:rsidRPr="00C22C47">
        <w:rPr>
          <w:color w:val="000000" w:themeColor="text1"/>
        </w:rPr>
        <w:t>API maybe. Perhaps a component within NEPA</w:t>
      </w:r>
    </w:p>
    <w:p w14:paraId="2C073BA8" w14:textId="6BFA8C75" w:rsidR="000F1652" w:rsidRPr="00C22C47" w:rsidRDefault="007513CA" w:rsidP="00FB3C63">
      <w:pPr>
        <w:rPr>
          <w:color w:val="000000" w:themeColor="text1"/>
        </w:rPr>
      </w:pPr>
      <w:r w:rsidRPr="00C22C47">
        <w:rPr>
          <w:color w:val="000000" w:themeColor="text1"/>
        </w:rPr>
        <w:t>reviews commons sustainability metrics that have been used in hydrogen infrastructure projects.</w:t>
      </w:r>
    </w:p>
    <w:p w14:paraId="05EB4F48" w14:textId="77777777" w:rsidR="000F1652" w:rsidRPr="00C22C47" w:rsidRDefault="000F1652">
      <w:pPr>
        <w:spacing w:before="0"/>
        <w:jc w:val="left"/>
        <w:rPr>
          <w:color w:val="000000" w:themeColor="text1"/>
        </w:rPr>
      </w:pPr>
      <w:r w:rsidRPr="00C22C47">
        <w:rPr>
          <w:color w:val="000000" w:themeColor="text1"/>
        </w:rPr>
        <w:br w:type="page"/>
      </w:r>
    </w:p>
    <w:p w14:paraId="5CD4D2F7" w14:textId="2C93E862" w:rsidR="007C5514" w:rsidRPr="00C22C47" w:rsidRDefault="00C92AEB" w:rsidP="00F80D1B">
      <w:pPr>
        <w:pStyle w:val="Heading1"/>
      </w:pPr>
      <w:bookmarkStart w:id="37" w:name="_Appendix"/>
      <w:bookmarkStart w:id="38" w:name="_Toc146147252"/>
      <w:bookmarkEnd w:id="37"/>
      <w:r w:rsidRPr="00C22C47">
        <w:t>Appendix</w:t>
      </w:r>
      <w:bookmarkEnd w:id="38"/>
    </w:p>
    <w:p w14:paraId="060B49CC" w14:textId="7457996F" w:rsidR="00C92AEB" w:rsidRPr="00C22C47" w:rsidRDefault="00C92AEB" w:rsidP="00F80D1B">
      <w:pPr>
        <w:pStyle w:val="Heading2"/>
      </w:pPr>
      <w:bookmarkStart w:id="39" w:name="_Toc146147253"/>
      <w:r w:rsidRPr="00C22C47">
        <w:t>Economic Metrics</w:t>
      </w:r>
      <w:bookmarkEnd w:id="39"/>
    </w:p>
    <w:p w14:paraId="2EB744AE" w14:textId="31B6A93C" w:rsidR="00C91BDB" w:rsidRPr="00C22C47" w:rsidRDefault="00C91BDB" w:rsidP="00C91BDB">
      <w:pPr>
        <w:pStyle w:val="Heading3"/>
      </w:pPr>
      <w:bookmarkStart w:id="40" w:name="_Financial_performance"/>
      <w:bookmarkStart w:id="41" w:name="_Toc146147254"/>
      <w:bookmarkEnd w:id="40"/>
      <w:r w:rsidRPr="00C22C47">
        <w:t>Financial performance</w:t>
      </w:r>
      <w:bookmarkEnd w:id="41"/>
    </w:p>
    <w:p w14:paraId="46750C48" w14:textId="73362B93" w:rsidR="00F80D1B" w:rsidRPr="00C22C47" w:rsidRDefault="00F80D1B" w:rsidP="00C91BDB">
      <w:pPr>
        <w:pStyle w:val="Heading4"/>
        <w:rPr>
          <w:color w:val="000000" w:themeColor="text1"/>
        </w:rPr>
      </w:pPr>
      <w:bookmarkStart w:id="42" w:name="_Investment_Costs"/>
      <w:bookmarkEnd w:id="42"/>
      <w:r w:rsidRPr="00C22C47">
        <w:rPr>
          <w:color w:val="000000" w:themeColor="text1"/>
        </w:rPr>
        <w:t>Investment Costs</w:t>
      </w:r>
    </w:p>
    <w:p w14:paraId="1B5D32CE" w14:textId="77777777" w:rsidR="003536E8" w:rsidRPr="00C22C47" w:rsidRDefault="003536E8" w:rsidP="003536E8">
      <w:pPr>
        <w:rPr>
          <w:color w:val="000000" w:themeColor="text1"/>
        </w:rPr>
      </w:pPr>
      <w:r w:rsidRPr="00C22C47">
        <w:rPr>
          <w:color w:val="000000" w:themeColor="text1"/>
        </w:rPr>
        <w:t>The formula to compute investment cost can be straightforward and depends on the specific project or initiative being evaluated. Generally, it can be expressed as:</w:t>
      </w:r>
    </w:p>
    <w:p w14:paraId="41C509BB" w14:textId="7FEB4CAA" w:rsidR="00F80D1B" w:rsidRPr="00C22C47" w:rsidRDefault="003D3B48" w:rsidP="003D3B48">
      <w:pPr>
        <w:jc w:val="center"/>
        <w:rPr>
          <w:rFonts w:eastAsiaTheme="minorEastAsia" w:cstheme="minorHAnsi"/>
          <w:iCs/>
          <w:color w:val="000000" w:themeColor="text1"/>
        </w:rPr>
      </w:pPr>
      <m:oMathPara>
        <m:oMath>
          <m:r>
            <m:rPr>
              <m:sty m:val="p"/>
            </m:rPr>
            <w:rPr>
              <w:rFonts w:ascii="Cambria Math" w:hAnsi="Cambria Math" w:cstheme="minorHAnsi"/>
              <w:color w:val="000000" w:themeColor="text1"/>
            </w:rPr>
            <m:t xml:space="preserve">Investment Cost = Capital Expenditures (CapEx) + Operating Expenses </m:t>
          </m:r>
          <m:d>
            <m:dPr>
              <m:ctrlPr>
                <w:rPr>
                  <w:rFonts w:ascii="Cambria Math" w:hAnsi="Cambria Math" w:cstheme="minorHAnsi"/>
                  <w:iCs/>
                  <w:color w:val="000000" w:themeColor="text1"/>
                </w:rPr>
              </m:ctrlPr>
            </m:dPr>
            <m:e>
              <m:r>
                <m:rPr>
                  <m:sty m:val="p"/>
                </m:rPr>
                <w:rPr>
                  <w:rFonts w:ascii="Cambria Math" w:hAnsi="Cambria Math" w:cstheme="minorHAnsi"/>
                  <w:color w:val="000000" w:themeColor="text1"/>
                </w:rPr>
                <m:t>OpEx</m:t>
              </m:r>
            </m:e>
          </m:d>
        </m:oMath>
      </m:oMathPara>
    </w:p>
    <w:p w14:paraId="3C83D475" w14:textId="5FDA3AD5" w:rsidR="003536E8" w:rsidRPr="00C22C47" w:rsidRDefault="00276E40" w:rsidP="003536E8">
      <w:pPr>
        <w:rPr>
          <w:color w:val="000000" w:themeColor="text1"/>
        </w:rPr>
      </w:pPr>
      <w:r w:rsidRPr="00C22C47">
        <w:rPr>
          <w:color w:val="000000" w:themeColor="text1"/>
        </w:rPr>
        <w:t xml:space="preserve">This includes all the one-time upfront costs associated with the project. It typically consists of expenses like purchasing equipment, construction, installation, and any other initial investments. </w:t>
      </w:r>
      <w:proofErr w:type="spellStart"/>
      <w:r w:rsidRPr="00C22C47">
        <w:rPr>
          <w:color w:val="000000" w:themeColor="text1"/>
        </w:rPr>
        <w:t>CapEx</w:t>
      </w:r>
      <w:proofErr w:type="spellEnd"/>
      <w:r w:rsidRPr="00C22C47">
        <w:rPr>
          <w:color w:val="000000" w:themeColor="text1"/>
        </w:rPr>
        <w:t xml:space="preserve"> is often represented as a lump sum or a series of payments over time.</w:t>
      </w:r>
    </w:p>
    <w:p w14:paraId="639CDD1A" w14:textId="77777777" w:rsidR="00C92AEB" w:rsidRPr="00C22C47" w:rsidRDefault="00C92AEB" w:rsidP="00C91BDB">
      <w:pPr>
        <w:pStyle w:val="Heading4"/>
        <w:rPr>
          <w:color w:val="000000" w:themeColor="text1"/>
        </w:rPr>
      </w:pPr>
      <w:bookmarkStart w:id="43" w:name="_Operating_Costs"/>
      <w:bookmarkEnd w:id="43"/>
      <w:r w:rsidRPr="00C22C47">
        <w:rPr>
          <w:color w:val="000000" w:themeColor="text1"/>
        </w:rPr>
        <w:t>Operating Costs</w:t>
      </w:r>
    </w:p>
    <w:p w14:paraId="13DB1F37" w14:textId="77777777" w:rsidR="00C92AEB" w:rsidRPr="00C22C47" w:rsidRDefault="00C92AEB" w:rsidP="00C92AEB">
      <w:pPr>
        <w:rPr>
          <w:color w:val="000000" w:themeColor="text1"/>
        </w:rPr>
      </w:pPr>
      <w:r w:rsidRPr="00C22C47">
        <w:rPr>
          <w:color w:val="000000" w:themeColor="text1"/>
        </w:rPr>
        <w:t>An organization can calculate operating costs as cash payments made outside the organization for materials, product components, facilities, and services purchased.</w:t>
      </w:r>
    </w:p>
    <w:p w14:paraId="5849429E" w14:textId="77777777" w:rsidR="00C92AEB" w:rsidRPr="00C22C47" w:rsidRDefault="00C92AEB" w:rsidP="00C92AEB">
      <w:pPr>
        <w:rPr>
          <w:color w:val="000000" w:themeColor="text1"/>
        </w:rPr>
      </w:pPr>
      <w:r w:rsidRPr="00C22C47">
        <w:rPr>
          <w:color w:val="000000" w:themeColor="text1"/>
        </w:rPr>
        <w:t>Services purchased can include payments to self-employed persons, temporary placement agencies and other organizations providing services. Costs related to workers who are not employees working in an operational role are included as part of services purchased, rather than under employee wages and benefits.</w:t>
      </w:r>
    </w:p>
    <w:p w14:paraId="0D8D85BD" w14:textId="77777777" w:rsidR="00C92AEB" w:rsidRPr="00C22C47" w:rsidRDefault="00C92AEB" w:rsidP="00C92AEB">
      <w:pPr>
        <w:rPr>
          <w:color w:val="000000" w:themeColor="text1"/>
        </w:rPr>
      </w:pPr>
      <w:r w:rsidRPr="00C22C47">
        <w:rPr>
          <w:color w:val="000000" w:themeColor="text1"/>
        </w:rPr>
        <w:t xml:space="preserve">Operating costs can include: </w:t>
      </w:r>
    </w:p>
    <w:p w14:paraId="09504B13" w14:textId="77777777" w:rsidR="00C92AEB" w:rsidRPr="00C22C47" w:rsidRDefault="00C92AEB" w:rsidP="00C92AEB">
      <w:pPr>
        <w:pStyle w:val="ListParagraph"/>
        <w:numPr>
          <w:ilvl w:val="0"/>
          <w:numId w:val="20"/>
        </w:numPr>
        <w:rPr>
          <w:color w:val="000000" w:themeColor="text1"/>
        </w:rPr>
      </w:pPr>
      <w:r w:rsidRPr="00C22C47">
        <w:rPr>
          <w:color w:val="000000" w:themeColor="text1"/>
        </w:rPr>
        <w:t>Property rentals</w:t>
      </w:r>
    </w:p>
    <w:p w14:paraId="685CE035" w14:textId="77777777" w:rsidR="00C92AEB" w:rsidRPr="00C22C47" w:rsidRDefault="00C92AEB" w:rsidP="00C92AEB">
      <w:pPr>
        <w:pStyle w:val="ListParagraph"/>
        <w:numPr>
          <w:ilvl w:val="0"/>
          <w:numId w:val="20"/>
        </w:numPr>
        <w:rPr>
          <w:color w:val="000000" w:themeColor="text1"/>
        </w:rPr>
      </w:pPr>
      <w:r w:rsidRPr="00C22C47">
        <w:rPr>
          <w:color w:val="000000" w:themeColor="text1"/>
        </w:rPr>
        <w:t>License fees;</w:t>
      </w:r>
    </w:p>
    <w:p w14:paraId="4E1235F5" w14:textId="77777777" w:rsidR="00C92AEB" w:rsidRPr="00C22C47" w:rsidRDefault="00C92AEB" w:rsidP="00C92AEB">
      <w:pPr>
        <w:pStyle w:val="ListParagraph"/>
        <w:numPr>
          <w:ilvl w:val="0"/>
          <w:numId w:val="20"/>
        </w:numPr>
        <w:rPr>
          <w:color w:val="000000" w:themeColor="text1"/>
        </w:rPr>
      </w:pPr>
      <w:r w:rsidRPr="00C22C47">
        <w:rPr>
          <w:color w:val="000000" w:themeColor="text1"/>
        </w:rPr>
        <w:t>Facilitation payments (since these have a clear commercial objective);</w:t>
      </w:r>
    </w:p>
    <w:p w14:paraId="2BACD6A4" w14:textId="77777777" w:rsidR="00C92AEB" w:rsidRPr="00C22C47" w:rsidRDefault="00C92AEB" w:rsidP="00C92AEB">
      <w:pPr>
        <w:pStyle w:val="ListParagraph"/>
        <w:numPr>
          <w:ilvl w:val="0"/>
          <w:numId w:val="20"/>
        </w:numPr>
        <w:rPr>
          <w:color w:val="000000" w:themeColor="text1"/>
        </w:rPr>
      </w:pPr>
      <w:r w:rsidRPr="00C22C47">
        <w:rPr>
          <w:color w:val="000000" w:themeColor="text1"/>
        </w:rPr>
        <w:t>Royalties;</w:t>
      </w:r>
    </w:p>
    <w:p w14:paraId="20B314DE" w14:textId="77777777" w:rsidR="00C92AEB" w:rsidRPr="00C22C47" w:rsidRDefault="00C92AEB" w:rsidP="00C92AEB">
      <w:pPr>
        <w:pStyle w:val="ListParagraph"/>
        <w:numPr>
          <w:ilvl w:val="0"/>
          <w:numId w:val="20"/>
        </w:numPr>
        <w:rPr>
          <w:color w:val="000000" w:themeColor="text1"/>
        </w:rPr>
      </w:pPr>
      <w:r w:rsidRPr="00C22C47">
        <w:rPr>
          <w:color w:val="000000" w:themeColor="text1"/>
        </w:rPr>
        <w:t>Payments for contract workers;</w:t>
      </w:r>
    </w:p>
    <w:p w14:paraId="11344079" w14:textId="77777777" w:rsidR="00C92AEB" w:rsidRPr="00C22C47" w:rsidRDefault="00C92AEB" w:rsidP="00C92AEB">
      <w:pPr>
        <w:pStyle w:val="ListParagraph"/>
        <w:numPr>
          <w:ilvl w:val="0"/>
          <w:numId w:val="20"/>
        </w:numPr>
        <w:rPr>
          <w:color w:val="000000" w:themeColor="text1"/>
        </w:rPr>
      </w:pPr>
      <w:r w:rsidRPr="00C22C47">
        <w:rPr>
          <w:color w:val="000000" w:themeColor="text1"/>
        </w:rPr>
        <w:t>Training costs, if outside trainers are used;</w:t>
      </w:r>
    </w:p>
    <w:p w14:paraId="600F5FA8" w14:textId="7E12808A" w:rsidR="00C92AEB" w:rsidRPr="00C22C47" w:rsidRDefault="00C92AEB" w:rsidP="00C92AEB">
      <w:pPr>
        <w:pStyle w:val="ListParagraph"/>
        <w:numPr>
          <w:ilvl w:val="0"/>
          <w:numId w:val="20"/>
        </w:numPr>
        <w:rPr>
          <w:color w:val="000000" w:themeColor="text1"/>
        </w:rPr>
      </w:pPr>
      <w:r w:rsidRPr="00C22C47">
        <w:rPr>
          <w:color w:val="000000" w:themeColor="text1"/>
        </w:rPr>
        <w:t>Personal protective clothing.</w:t>
      </w:r>
    </w:p>
    <w:p w14:paraId="29E40A2A" w14:textId="707DF26A" w:rsidR="003D3B48" w:rsidRPr="00C22C47" w:rsidRDefault="003D3B48" w:rsidP="003D3B48">
      <w:pPr>
        <w:rPr>
          <w:rFonts w:eastAsiaTheme="minorEastAsia" w:cstheme="minorHAnsi"/>
          <w:iCs/>
          <w:color w:val="000000" w:themeColor="text1"/>
        </w:rPr>
      </w:pPr>
      <m:oMathPara>
        <m:oMath>
          <m:r>
            <m:rPr>
              <m:sty m:val="p"/>
            </m:rPr>
            <w:rPr>
              <w:rFonts w:ascii="Cambria Math" w:hAnsi="Cambria Math" w:cstheme="minorHAnsi"/>
              <w:color w:val="000000" w:themeColor="text1"/>
            </w:rPr>
            <m:t>Operating cost = Fixed costs + Variable Costs</m:t>
          </m:r>
        </m:oMath>
      </m:oMathPara>
    </w:p>
    <w:p w14:paraId="44B741AB" w14:textId="77777777" w:rsidR="000751B9" w:rsidRPr="00C22C47" w:rsidRDefault="008B1748" w:rsidP="00C91BDB">
      <w:pPr>
        <w:pStyle w:val="Heading5"/>
        <w:rPr>
          <w:color w:val="000000" w:themeColor="text1"/>
        </w:rPr>
      </w:pPr>
      <w:r w:rsidRPr="00C22C47">
        <w:rPr>
          <w:color w:val="000000" w:themeColor="text1"/>
        </w:rPr>
        <w:t>Fixed Costs</w:t>
      </w:r>
    </w:p>
    <w:p w14:paraId="09A4CC35" w14:textId="202EF69A" w:rsidR="008B1748" w:rsidRPr="00C22C47" w:rsidRDefault="008B1748" w:rsidP="000751B9">
      <w:pPr>
        <w:rPr>
          <w:color w:val="000000" w:themeColor="text1"/>
        </w:rPr>
      </w:pPr>
      <w:r w:rsidRPr="00C22C47">
        <w:rPr>
          <w:color w:val="000000" w:themeColor="text1"/>
        </w:rPr>
        <w:t>Fixed costs are expenses that do not change significantly with variations in production or business activity. These costs remain relatively stable over time. Examples include rent or lease payments, salaries of permanent employees, insurance premiums, and depreciation of assets. Fixed costs are typically incurred even if production or business activity temporarily ceases.</w:t>
      </w:r>
    </w:p>
    <w:p w14:paraId="706CB160" w14:textId="77777777" w:rsidR="000751B9" w:rsidRPr="00C22C47" w:rsidRDefault="008B1748" w:rsidP="00C91BDB">
      <w:pPr>
        <w:pStyle w:val="Heading5"/>
        <w:rPr>
          <w:color w:val="000000" w:themeColor="text1"/>
        </w:rPr>
      </w:pPr>
      <w:r w:rsidRPr="00C22C47">
        <w:rPr>
          <w:color w:val="000000" w:themeColor="text1"/>
        </w:rPr>
        <w:t>Variable Costs</w:t>
      </w:r>
    </w:p>
    <w:p w14:paraId="691356DF" w14:textId="7A06C2D0" w:rsidR="008B1748" w:rsidRPr="00C22C47" w:rsidRDefault="008B1748" w:rsidP="000751B9">
      <w:pPr>
        <w:rPr>
          <w:color w:val="000000" w:themeColor="text1"/>
        </w:rPr>
      </w:pPr>
      <w:r w:rsidRPr="00C22C47">
        <w:rPr>
          <w:color w:val="000000" w:themeColor="text1"/>
        </w:rPr>
        <w:t>Variable costs are expenses that fluctuate in direct proportion to changes in production or business activity. These costs increase as production or activity levels increase and decrease as production or activity levels decrease. Examples of variable costs include raw materials, direct labor, utilities directly related to production, and sales commissions.</w:t>
      </w:r>
    </w:p>
    <w:p w14:paraId="1B390A67" w14:textId="3B2553C9" w:rsidR="00CD2427" w:rsidRPr="00C22C47" w:rsidRDefault="00CD2427" w:rsidP="00C91BDB">
      <w:pPr>
        <w:pStyle w:val="Heading4"/>
        <w:rPr>
          <w:color w:val="000000" w:themeColor="text1"/>
        </w:rPr>
      </w:pPr>
      <w:bookmarkStart w:id="44" w:name="_Payback_Period"/>
      <w:bookmarkEnd w:id="44"/>
      <w:r w:rsidRPr="00C22C47">
        <w:rPr>
          <w:color w:val="000000" w:themeColor="text1"/>
        </w:rPr>
        <w:t>Payback Period</w:t>
      </w:r>
    </w:p>
    <w:p w14:paraId="7D663AFC" w14:textId="77777777" w:rsidR="00CF6777" w:rsidRPr="00C22C47" w:rsidRDefault="00CF6777" w:rsidP="00CF6777">
      <w:pPr>
        <w:rPr>
          <w:rFonts w:cstheme="minorHAnsi"/>
          <w:iCs/>
          <w:color w:val="000000" w:themeColor="text1"/>
        </w:rPr>
      </w:pPr>
      <w:r w:rsidRPr="00C22C47">
        <w:rPr>
          <w:rFonts w:cstheme="minorHAnsi"/>
          <w:iCs/>
          <w:color w:val="000000" w:themeColor="text1"/>
        </w:rPr>
        <w:t>The payback period is a financial metric used to evaluate the time it takes for an investment to generate an amount of income or cash equivalent to the initial cost or investment outlay. In other words, it measures the length of time it takes to recoup the initial investment from the cash flows generated by the investment.</w:t>
      </w:r>
    </w:p>
    <w:p w14:paraId="3B0F0826" w14:textId="77777777" w:rsidR="00CF6777" w:rsidRPr="00C22C47" w:rsidRDefault="00CF6777" w:rsidP="00CF6777">
      <w:pPr>
        <w:rPr>
          <w:rFonts w:cstheme="minorHAnsi"/>
          <w:iCs/>
          <w:color w:val="000000" w:themeColor="text1"/>
        </w:rPr>
      </w:pPr>
      <w:r w:rsidRPr="00C22C47">
        <w:rPr>
          <w:rFonts w:cstheme="minorHAnsi"/>
          <w:iCs/>
          <w:color w:val="000000" w:themeColor="text1"/>
        </w:rPr>
        <w:t>The formula to calculate the payback period is quite simple:</w:t>
      </w:r>
    </w:p>
    <w:p w14:paraId="459F530F" w14:textId="76E4EA36" w:rsidR="00CD2427" w:rsidRPr="00C22C47" w:rsidRDefault="00CF6777" w:rsidP="00CF6777">
      <w:pPr>
        <w:rPr>
          <w:rStyle w:val="SubtleReference"/>
        </w:rPr>
      </w:pPr>
      <m:oMathPara>
        <m:oMath>
          <m:r>
            <m:rPr>
              <m:sty m:val="p"/>
            </m:rPr>
            <w:rPr>
              <w:rStyle w:val="SubtleReference"/>
            </w:rPr>
            <m:t>Payback Period = Initial Investment / Annual Cash Flow</m:t>
          </m:r>
        </m:oMath>
      </m:oMathPara>
    </w:p>
    <w:p w14:paraId="6EF450D5" w14:textId="563386F5" w:rsidR="00F33608" w:rsidRPr="00C22C47" w:rsidRDefault="00F33608" w:rsidP="00C91BDB">
      <w:pPr>
        <w:pStyle w:val="Heading4"/>
        <w:rPr>
          <w:color w:val="000000" w:themeColor="text1"/>
        </w:rPr>
      </w:pPr>
      <w:bookmarkStart w:id="45" w:name="_Net_Present_value"/>
      <w:bookmarkEnd w:id="45"/>
      <w:r w:rsidRPr="00C22C47">
        <w:rPr>
          <w:color w:val="000000" w:themeColor="text1"/>
        </w:rPr>
        <w:t>Net Present value</w:t>
      </w:r>
    </w:p>
    <w:p w14:paraId="72D91238" w14:textId="70207291" w:rsidR="001526CA" w:rsidRPr="00C22C47" w:rsidRDefault="001526CA" w:rsidP="001526CA">
      <w:pPr>
        <w:rPr>
          <w:color w:val="000000" w:themeColor="text1"/>
        </w:rPr>
      </w:pPr>
      <w:r w:rsidRPr="00C22C47">
        <w:rPr>
          <w:color w:val="000000" w:themeColor="text1"/>
        </w:rPr>
        <w:t>Net Present Value (NPV) is a financial metric used to assess the profitability of an investment or project by comparing the present value of expected cash inflows with the present value of expected cash outflows. NPV helps determine whether an investment is likely to generate a positive return and by how much.</w:t>
      </w:r>
    </w:p>
    <w:p w14:paraId="08D702D1" w14:textId="0C9CEAE1" w:rsidR="00F33608" w:rsidRPr="00C22C47" w:rsidRDefault="001526CA" w:rsidP="001526CA">
      <w:pPr>
        <w:rPr>
          <w:color w:val="000000" w:themeColor="text1"/>
        </w:rPr>
      </w:pPr>
      <w:r w:rsidRPr="00C22C47">
        <w:rPr>
          <w:color w:val="000000" w:themeColor="text1"/>
        </w:rPr>
        <w:t>The formula to calculate NPV is as follows:</w:t>
      </w:r>
    </w:p>
    <w:p w14:paraId="3310880E" w14:textId="5FCB6F21" w:rsidR="001526CA" w:rsidRPr="00C22C47" w:rsidRDefault="00A30CE5" w:rsidP="001526CA">
      <w:pPr>
        <w:rPr>
          <w:color w:val="000000" w:themeColor="text1"/>
        </w:rPr>
      </w:pPr>
      <m:oMathPara>
        <m:oMath>
          <m:r>
            <w:rPr>
              <w:rFonts w:ascii="Cambria Math" w:hAnsi="Cambria Math"/>
              <w:color w:val="000000" w:themeColor="text1"/>
            </w:rPr>
            <m:t xml:space="preserve">NPV= </m:t>
          </m:r>
          <m:nary>
            <m:naryPr>
              <m:chr m:val="∑"/>
              <m:limLoc m:val="undOvr"/>
              <m:ctrlPr>
                <w:rPr>
                  <w:rFonts w:ascii="Cambria Math" w:hAnsi="Cambria Math"/>
                  <w:i/>
                  <w:color w:val="000000" w:themeColor="text1"/>
                </w:rPr>
              </m:ctrlPr>
            </m:naryPr>
            <m:sub>
              <m:r>
                <w:rPr>
                  <w:rFonts w:ascii="Cambria Math" w:hAnsi="Cambria Math"/>
                  <w:color w:val="000000" w:themeColor="text1"/>
                </w:rPr>
                <m:t>t=0</m:t>
              </m:r>
            </m:sub>
            <m:sup>
              <m:r>
                <w:rPr>
                  <w:rFonts w:ascii="Cambria Math" w:hAnsi="Cambria Math"/>
                  <w:color w:val="000000" w:themeColor="text1"/>
                </w:rPr>
                <m:t>n</m:t>
              </m:r>
            </m:sup>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1+R</m:t>
                              </m:r>
                            </m:e>
                          </m:d>
                        </m:e>
                        <m:sup>
                          <m:r>
                            <w:rPr>
                              <w:rFonts w:ascii="Cambria Math" w:hAnsi="Cambria Math"/>
                              <w:color w:val="000000" w:themeColor="text1"/>
                            </w:rPr>
                            <m:t>t</m:t>
                          </m:r>
                        </m:sup>
                      </m:sSup>
                    </m:den>
                  </m:f>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o</m:t>
                  </m:r>
                </m:sub>
              </m:sSub>
            </m:e>
          </m:nary>
        </m:oMath>
      </m:oMathPara>
    </w:p>
    <w:p w14:paraId="37BE7C58" w14:textId="56BFEF29" w:rsidR="00DB184B" w:rsidRPr="00C22C47" w:rsidRDefault="00336FAE" w:rsidP="00EC355D">
      <w:pPr>
        <w:spacing w:before="0" w:after="0"/>
        <w:rPr>
          <w:color w:val="000000" w:themeColor="text1"/>
        </w:rPr>
      </w:pPr>
      <m:oMath>
        <m:r>
          <w:rPr>
            <w:rFonts w:ascii="Cambria Math" w:hAnsi="Cambria Math"/>
            <w:color w:val="000000" w:themeColor="text1"/>
          </w:rPr>
          <m:t>NPV</m:t>
        </m:r>
      </m:oMath>
      <w:r w:rsidR="00032522" w:rsidRPr="00C22C47">
        <w:rPr>
          <w:color w:val="000000" w:themeColor="text1"/>
        </w:rPr>
        <w:t>= Net Present Value</w:t>
      </w:r>
    </w:p>
    <w:p w14:paraId="0A5EC61C" w14:textId="1E16590B" w:rsidR="00032522" w:rsidRPr="00C22C47" w:rsidRDefault="00336FAE" w:rsidP="00EC355D">
      <w:pPr>
        <w:spacing w:before="0" w:after="0"/>
        <w:rPr>
          <w:color w:val="000000" w:themeColor="text1"/>
        </w:rPr>
      </w:pPr>
      <m:oMath>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C22C47">
        <w:rPr>
          <w:color w:val="000000" w:themeColor="text1"/>
        </w:rPr>
        <w:t xml:space="preserve"> </w:t>
      </w:r>
      <w:r w:rsidR="00032522" w:rsidRPr="00C22C47">
        <w:rPr>
          <w:color w:val="000000" w:themeColor="text1"/>
        </w:rPr>
        <w:t>= Cash flow during a specific period t</w:t>
      </w:r>
    </w:p>
    <w:p w14:paraId="50E6C1C1" w14:textId="1B17805B" w:rsidR="00032522" w:rsidRPr="00C22C47" w:rsidRDefault="00336FAE" w:rsidP="00EC355D">
      <w:pPr>
        <w:spacing w:before="0" w:after="0"/>
        <w:rPr>
          <w:color w:val="000000" w:themeColor="text1"/>
        </w:rPr>
      </w:pPr>
      <m:oMath>
        <m:r>
          <w:rPr>
            <w:rFonts w:ascii="Cambria Math" w:hAnsi="Cambria Math"/>
            <w:color w:val="000000" w:themeColor="text1"/>
          </w:rPr>
          <m:t>r</m:t>
        </m:r>
      </m:oMath>
      <w:r w:rsidR="00032522" w:rsidRPr="00C22C47">
        <w:rPr>
          <w:color w:val="000000" w:themeColor="text1"/>
        </w:rPr>
        <w:t xml:space="preserve"> = Discount rate, which represents the required rate of return or the cost of capital</w:t>
      </w:r>
    </w:p>
    <w:p w14:paraId="3169ECC6" w14:textId="698A52CF" w:rsidR="00032522" w:rsidRPr="00C22C47" w:rsidRDefault="00336FAE" w:rsidP="00EC355D">
      <w:pPr>
        <w:spacing w:before="0" w:after="0"/>
        <w:rPr>
          <w:color w:val="000000" w:themeColor="text1"/>
        </w:rPr>
      </w:pPr>
      <m:oMath>
        <m:r>
          <w:rPr>
            <w:rFonts w:ascii="Cambria Math" w:hAnsi="Cambria Math"/>
            <w:color w:val="000000" w:themeColor="text1"/>
          </w:rPr>
          <m:t>T</m:t>
        </m:r>
      </m:oMath>
      <w:r w:rsidR="00032522" w:rsidRPr="00C22C47">
        <w:rPr>
          <w:color w:val="000000" w:themeColor="text1"/>
        </w:rPr>
        <w:t xml:space="preserve"> = Time period (usually in years)</w:t>
      </w:r>
    </w:p>
    <w:p w14:paraId="084E7C99" w14:textId="6BBD2391" w:rsidR="00032522" w:rsidRPr="00C22C47" w:rsidRDefault="0076009A" w:rsidP="008C178A">
      <w:pPr>
        <w:spacing w:befor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o</m:t>
            </m:r>
          </m:sub>
        </m:sSub>
      </m:oMath>
      <w:r w:rsidR="00032522" w:rsidRPr="00C22C47">
        <w:rPr>
          <w:color w:val="000000" w:themeColor="text1"/>
        </w:rPr>
        <w:t xml:space="preserve">= </w:t>
      </w:r>
      <w:r w:rsidR="00336FAE" w:rsidRPr="00C22C47">
        <w:rPr>
          <w:color w:val="000000" w:themeColor="text1"/>
        </w:rPr>
        <w:t xml:space="preserve">Initial investments cost (usually occurring at time t = 0) </w:t>
      </w:r>
    </w:p>
    <w:p w14:paraId="5FDC8809" w14:textId="36E294BF" w:rsidR="00EC355D" w:rsidRPr="00C22C47" w:rsidRDefault="00EC355D" w:rsidP="00C91BDB">
      <w:pPr>
        <w:pStyle w:val="Heading4"/>
        <w:rPr>
          <w:color w:val="000000" w:themeColor="text1"/>
        </w:rPr>
      </w:pPr>
      <w:bookmarkStart w:id="46" w:name="_Return_on_investment"/>
      <w:bookmarkEnd w:id="46"/>
      <w:r w:rsidRPr="00C22C47">
        <w:rPr>
          <w:color w:val="000000" w:themeColor="text1"/>
        </w:rPr>
        <w:t>Return on investment</w:t>
      </w:r>
    </w:p>
    <w:p w14:paraId="5BF92D51" w14:textId="77777777" w:rsidR="00EC355D" w:rsidRPr="00C22C47" w:rsidRDefault="00EC355D" w:rsidP="00EC355D">
      <w:pPr>
        <w:rPr>
          <w:color w:val="000000" w:themeColor="text1"/>
        </w:rPr>
      </w:pPr>
      <w:r w:rsidRPr="00C22C47">
        <w:rPr>
          <w:color w:val="000000" w:themeColor="text1"/>
        </w:rPr>
        <w:t>Return on Investment (ROI) is a financial metric used to assess the profitability and efficiency of an investment. It measures the gain or return generated from an investment relative to its cost. ROI is expressed as a percentage and is widely used in business and finance to evaluate the performance of various investments, projects, or initiatives.</w:t>
      </w:r>
    </w:p>
    <w:p w14:paraId="42CA9D62" w14:textId="6CDA8F3B" w:rsidR="00EC355D" w:rsidRPr="00C22C47" w:rsidRDefault="00EC355D" w:rsidP="00EC355D">
      <w:pPr>
        <w:rPr>
          <w:color w:val="000000" w:themeColor="text1"/>
        </w:rPr>
      </w:pPr>
      <w:r w:rsidRPr="00C22C47">
        <w:rPr>
          <w:color w:val="000000" w:themeColor="text1"/>
        </w:rPr>
        <w:t>The formula to calculate ROI is as follows:</w:t>
      </w:r>
    </w:p>
    <w:p w14:paraId="19D9459A" w14:textId="3F0A0FBB" w:rsidR="00206937" w:rsidRPr="00C22C47" w:rsidRDefault="00206937" w:rsidP="00EC355D">
      <w:pPr>
        <w:rPr>
          <w:rFonts w:eastAsiaTheme="minorEastAsia"/>
          <w:color w:val="000000" w:themeColor="text1"/>
        </w:rPr>
      </w:pPr>
      <m:oMathPara>
        <m:oMath>
          <m:r>
            <w:rPr>
              <w:rFonts w:ascii="Cambria Math" w:hAnsi="Cambria Math"/>
              <w:color w:val="000000" w:themeColor="text1"/>
            </w:rPr>
            <m:t>ROI=</m:t>
          </m:r>
          <m:f>
            <m:fPr>
              <m:ctrlPr>
                <w:rPr>
                  <w:rFonts w:ascii="Cambria Math" w:hAnsi="Cambria Math"/>
                  <w:i/>
                  <w:color w:val="000000" w:themeColor="text1"/>
                </w:rPr>
              </m:ctrlPr>
            </m:fPr>
            <m:num>
              <m:r>
                <w:rPr>
                  <w:rFonts w:ascii="Cambria Math" w:hAnsi="Cambria Math"/>
                  <w:color w:val="000000" w:themeColor="text1"/>
                </w:rPr>
                <m:t>Net Gain from Investment</m:t>
              </m:r>
            </m:num>
            <m:den>
              <m:r>
                <w:rPr>
                  <w:rFonts w:ascii="Cambria Math" w:hAnsi="Cambria Math"/>
                  <w:color w:val="000000" w:themeColor="text1"/>
                </w:rPr>
                <m:t>Investment Cost</m:t>
              </m:r>
            </m:den>
          </m:f>
          <m:r>
            <w:rPr>
              <w:rFonts w:ascii="Cambria Math" w:hAnsi="Cambria Math"/>
              <w:color w:val="000000" w:themeColor="text1"/>
            </w:rPr>
            <m:t>×100</m:t>
          </m:r>
        </m:oMath>
      </m:oMathPara>
    </w:p>
    <w:p w14:paraId="57486F74" w14:textId="3CEAF34B" w:rsidR="00EC1F1E" w:rsidRPr="00C22C47" w:rsidRDefault="00EC1F1E" w:rsidP="00EC1F1E">
      <w:pPr>
        <w:spacing w:before="0" w:after="0"/>
        <w:rPr>
          <w:rFonts w:eastAsiaTheme="minorEastAsia"/>
          <w:color w:val="000000" w:themeColor="text1"/>
        </w:rPr>
      </w:pPr>
      <w:r w:rsidRPr="00C22C47">
        <w:rPr>
          <w:rFonts w:eastAsiaTheme="minorEastAsia"/>
          <w:color w:val="000000" w:themeColor="text1"/>
        </w:rPr>
        <w:t>Where,</w:t>
      </w:r>
    </w:p>
    <w:p w14:paraId="1C5E3018" w14:textId="64A98B0D" w:rsidR="00EC1F1E" w:rsidRPr="00C22C47" w:rsidRDefault="00EC1F1E" w:rsidP="00EC1F1E">
      <w:pPr>
        <w:spacing w:before="0" w:after="0"/>
        <w:rPr>
          <w:rFonts w:eastAsiaTheme="minorEastAsia"/>
          <w:color w:val="000000" w:themeColor="text1"/>
        </w:rPr>
      </w:pPr>
      <w:r w:rsidRPr="00C22C47">
        <w:rPr>
          <w:rFonts w:eastAsiaTheme="minorEastAsia"/>
          <w:color w:val="000000" w:themeColor="text1"/>
        </w:rPr>
        <w:t>"Net Gain from Investment" refers to the total income or profit generated by the investment.</w:t>
      </w:r>
    </w:p>
    <w:p w14:paraId="2E893640" w14:textId="4F67F8DF" w:rsidR="00206937" w:rsidRPr="00C22C47" w:rsidRDefault="00EC1F1E" w:rsidP="00EC1F1E">
      <w:pPr>
        <w:spacing w:before="0" w:after="0"/>
        <w:rPr>
          <w:rFonts w:eastAsiaTheme="minorEastAsia"/>
          <w:color w:val="000000" w:themeColor="text1"/>
        </w:rPr>
      </w:pPr>
      <w:r w:rsidRPr="00C22C47">
        <w:rPr>
          <w:rFonts w:eastAsiaTheme="minorEastAsia"/>
          <w:color w:val="000000" w:themeColor="text1"/>
        </w:rPr>
        <w:t>"Investment Cost" represents the total cost or initial outlay of the investment.</w:t>
      </w:r>
    </w:p>
    <w:p w14:paraId="7ECA8677" w14:textId="77777777" w:rsidR="00AC28DA" w:rsidRPr="00C22C47" w:rsidRDefault="00AC28DA" w:rsidP="00EC1F1E">
      <w:pPr>
        <w:spacing w:before="0" w:after="0"/>
        <w:rPr>
          <w:rFonts w:eastAsiaTheme="minorEastAsia"/>
          <w:color w:val="000000" w:themeColor="text1"/>
        </w:rPr>
      </w:pPr>
    </w:p>
    <w:p w14:paraId="29051827" w14:textId="7BFB0D17" w:rsidR="00C50CB8" w:rsidRPr="00C22C47" w:rsidRDefault="00C50CB8" w:rsidP="00E738AE">
      <w:pPr>
        <w:pStyle w:val="Heading3"/>
      </w:pPr>
      <w:bookmarkStart w:id="47" w:name="_Market_&amp;_Industry"/>
      <w:bookmarkStart w:id="48" w:name="_Toc146147255"/>
      <w:bookmarkEnd w:id="47"/>
      <w:r w:rsidRPr="00C22C47">
        <w:t>Market &amp; Industry</w:t>
      </w:r>
      <w:bookmarkEnd w:id="48"/>
      <w:r w:rsidRPr="00C22C47">
        <w:t xml:space="preserve"> </w:t>
      </w:r>
    </w:p>
    <w:p w14:paraId="760A6906" w14:textId="77777777" w:rsidR="0054266C" w:rsidRPr="00C22C47" w:rsidRDefault="00E738AE" w:rsidP="00E738AE">
      <w:pPr>
        <w:pStyle w:val="Heading4"/>
        <w:rPr>
          <w:color w:val="000000" w:themeColor="text1"/>
        </w:rPr>
      </w:pPr>
      <w:r w:rsidRPr="00C22C47">
        <w:rPr>
          <w:color w:val="000000" w:themeColor="text1"/>
        </w:rPr>
        <w:t>Industry Expansion</w:t>
      </w:r>
    </w:p>
    <w:p w14:paraId="4F0233CD" w14:textId="7E079538" w:rsidR="00E738AE" w:rsidRPr="00C22C47" w:rsidRDefault="0054266C" w:rsidP="00B176DE">
      <w:pPr>
        <w:rPr>
          <w:color w:val="000000" w:themeColor="text1"/>
        </w:rPr>
      </w:pPr>
      <w:r w:rsidRPr="00C22C47">
        <w:rPr>
          <w:color w:val="000000" w:themeColor="text1"/>
        </w:rPr>
        <w:t>The mean annual growth rate of an investment over a specified period of time longer than a year</w:t>
      </w:r>
      <w:r w:rsidR="00C23F60" w:rsidRPr="00C22C47">
        <w:rPr>
          <w:rStyle w:val="FootnoteReference"/>
          <w:color w:val="000000" w:themeColor="text1"/>
        </w:rPr>
        <w:footnoteReference w:id="2"/>
      </w:r>
      <w:r w:rsidR="00B176DE" w:rsidRPr="00C22C47">
        <w:rPr>
          <w:color w:val="000000" w:themeColor="text1"/>
        </w:rPr>
        <w:t>.</w:t>
      </w:r>
      <w:r w:rsidRPr="00C22C47">
        <w:rPr>
          <w:color w:val="000000" w:themeColor="text1"/>
        </w:rPr>
        <w:t xml:space="preserve"> </w:t>
      </w:r>
      <w:r w:rsidR="00E738AE" w:rsidRPr="00C22C47">
        <w:rPr>
          <w:color w:val="000000" w:themeColor="text1"/>
        </w:rPr>
        <w:t xml:space="preserve"> </w:t>
      </w:r>
    </w:p>
    <w:p w14:paraId="03D617D4" w14:textId="1D170E6D" w:rsidR="00C23F60" w:rsidRPr="00C22C47" w:rsidRDefault="00C23F60" w:rsidP="00B176DE">
      <w:pPr>
        <w:rPr>
          <w:rFonts w:eastAsiaTheme="minorEastAsia"/>
          <w:color w:val="000000" w:themeColor="text1"/>
        </w:rPr>
      </w:pPr>
      <m:oMathPara>
        <m:oMath>
          <m:r>
            <w:rPr>
              <w:rFonts w:ascii="Cambria Math" w:hAnsi="Cambria Math"/>
              <w:color w:val="000000" w:themeColor="text1"/>
            </w:rPr>
            <m:t xml:space="preserve">Compound Annual Growth rate </m:t>
          </m:r>
          <m:d>
            <m:dPr>
              <m:ctrlPr>
                <w:rPr>
                  <w:rFonts w:ascii="Cambria Math" w:hAnsi="Cambria Math"/>
                  <w:i/>
                  <w:color w:val="000000" w:themeColor="text1"/>
                </w:rPr>
              </m:ctrlPr>
            </m:dPr>
            <m:e>
              <m:r>
                <w:rPr>
                  <w:rFonts w:ascii="Cambria Math" w:hAnsi="Cambria Math"/>
                  <w:color w:val="000000" w:themeColor="text1"/>
                </w:rPr>
                <m: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Final Value</m:t>
                      </m:r>
                    </m:num>
                    <m:den>
                      <m:r>
                        <w:rPr>
                          <w:rFonts w:ascii="Cambria Math" w:eastAsiaTheme="minorEastAsia" w:hAnsi="Cambria Math"/>
                          <w:color w:val="000000" w:themeColor="text1"/>
                        </w:rPr>
                        <m:t>Initial Value</m:t>
                      </m:r>
                    </m:den>
                  </m:f>
                </m:e>
              </m:d>
            </m:e>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number of years</m:t>
                  </m:r>
                </m:den>
              </m:f>
            </m:sup>
          </m:sSup>
          <m:r>
            <w:rPr>
              <w:rFonts w:ascii="Cambria Math" w:eastAsiaTheme="minorEastAsia" w:hAnsi="Cambria Math"/>
              <w:color w:val="000000" w:themeColor="text1"/>
            </w:rPr>
            <m:t xml:space="preserve">-1)×100  </m:t>
          </m:r>
        </m:oMath>
      </m:oMathPara>
    </w:p>
    <w:p w14:paraId="228A0DB3" w14:textId="77777777" w:rsidR="00E738AE" w:rsidRPr="00C22C47" w:rsidRDefault="00E738AE" w:rsidP="00E738AE">
      <w:pPr>
        <w:pStyle w:val="Heading4"/>
        <w:rPr>
          <w:color w:val="000000" w:themeColor="text1"/>
        </w:rPr>
      </w:pPr>
      <w:r w:rsidRPr="00C22C47">
        <w:rPr>
          <w:color w:val="000000" w:themeColor="text1"/>
        </w:rPr>
        <w:t xml:space="preserve">Current market share </w:t>
      </w:r>
    </w:p>
    <w:p w14:paraId="459AC1C4" w14:textId="4FDF66DD" w:rsidR="00EA7DBB" w:rsidRPr="00C22C47" w:rsidRDefault="00354A1F" w:rsidP="00EA7DBB">
      <w:pPr>
        <w:rPr>
          <w:color w:val="000000" w:themeColor="text1"/>
        </w:rPr>
      </w:pPr>
      <w:r w:rsidRPr="00C22C47">
        <w:rPr>
          <w:color w:val="000000" w:themeColor="text1"/>
        </w:rPr>
        <w:t xml:space="preserve">Market share of the company can be calculated as </w:t>
      </w:r>
      <w:r w:rsidR="00A2769F" w:rsidRPr="00C22C47">
        <w:rPr>
          <w:color w:val="000000" w:themeColor="text1"/>
        </w:rPr>
        <w:t>following:</w:t>
      </w:r>
    </w:p>
    <w:p w14:paraId="6A67AD68" w14:textId="23934290" w:rsidR="00A2769F" w:rsidRPr="00C22C47" w:rsidRDefault="00A2769F" w:rsidP="00EA7DBB">
      <w:pPr>
        <w:rPr>
          <w:rFonts w:eastAsiaTheme="minorEastAsia"/>
          <w:color w:val="000000" w:themeColor="text1"/>
        </w:rPr>
      </w:pPr>
      <m:oMathPara>
        <m:oMath>
          <m:r>
            <w:rPr>
              <w:rFonts w:ascii="Cambria Math" w:hAnsi="Cambria Math"/>
              <w:color w:val="000000" w:themeColor="text1"/>
            </w:rPr>
            <m:t xml:space="preserve">Market Share </m:t>
          </m:r>
          <m:d>
            <m:dPr>
              <m:ctrlPr>
                <w:rPr>
                  <w:rFonts w:ascii="Cambria Math" w:hAnsi="Cambria Math"/>
                  <w:i/>
                  <w:color w:val="000000" w:themeColor="text1"/>
                </w:rPr>
              </m:ctrlPr>
            </m:dPr>
            <m:e>
              <m:r>
                <w:rPr>
                  <w:rFonts w:ascii="Cambria Math" w:hAnsi="Cambria Math"/>
                  <w:color w:val="000000" w:themeColor="text1"/>
                </w:rPr>
                <m:t>%</m:t>
              </m:r>
            </m:e>
          </m:d>
          <m:r>
            <w:rPr>
              <w:rFonts w:ascii="Cambria Math" w:hAnsi="Cambria Math"/>
              <w:color w:val="000000" w:themeColor="text1"/>
            </w:rPr>
            <m:t>=</m:t>
          </m:r>
          <m:f>
            <m:fPr>
              <m:ctrlPr>
                <w:rPr>
                  <w:rFonts w:ascii="Cambria Math" w:eastAsiaTheme="minorEastAsia" w:hAnsi="Cambria Math"/>
                  <w:i/>
                  <w:color w:val="000000" w:themeColor="text1"/>
                </w:rPr>
              </m:ctrlPr>
            </m:fPr>
            <m:num>
              <m:r>
                <w:rPr>
                  <w:rFonts w:ascii="Cambria Math" w:hAnsi="Cambria Math"/>
                  <w:color w:val="000000" w:themeColor="text1"/>
                </w:rPr>
                <m:t>Compan</m:t>
              </m:r>
              <m:sSup>
                <m:sSupPr>
                  <m:ctrlPr>
                    <w:rPr>
                      <w:rFonts w:ascii="Cambria Math" w:eastAsiaTheme="minorEastAsia" w:hAnsi="Cambria Math"/>
                      <w:i/>
                      <w:color w:val="000000" w:themeColor="text1"/>
                    </w:rPr>
                  </m:ctrlPr>
                </m:sSupPr>
                <m:e>
                  <m:r>
                    <w:rPr>
                      <w:rFonts w:ascii="Cambria Math" w:hAnsi="Cambria Math"/>
                      <w:color w:val="000000" w:themeColor="text1"/>
                    </w:rPr>
                    <m:t>y</m:t>
                  </m:r>
                  <m:ctrlPr>
                    <w:rPr>
                      <w:rFonts w:ascii="Cambria Math" w:hAnsi="Cambria Math"/>
                      <w:i/>
                      <w:color w:val="000000" w:themeColor="text1"/>
                    </w:rPr>
                  </m:ctrlPr>
                </m:e>
                <m:sup>
                  <m:r>
                    <w:rPr>
                      <w:rFonts w:ascii="Cambria Math" w:eastAsiaTheme="minorEastAsia" w:hAnsi="Cambria Math"/>
                      <w:color w:val="000000" w:themeColor="text1"/>
                    </w:rPr>
                    <m:t>'</m:t>
                  </m:r>
                </m:sup>
              </m:sSup>
              <m:r>
                <w:rPr>
                  <w:rFonts w:ascii="Cambria Math" w:eastAsiaTheme="minorEastAsia" w:hAnsi="Cambria Math"/>
                  <w:color w:val="000000" w:themeColor="text1"/>
                </w:rPr>
                <m:t>s Sales or Revenue</m:t>
              </m:r>
              <m:ctrlPr>
                <w:rPr>
                  <w:rFonts w:ascii="Cambria Math" w:hAnsi="Cambria Math"/>
                  <w:i/>
                  <w:color w:val="000000" w:themeColor="text1"/>
                </w:rPr>
              </m:ctrlPr>
            </m:num>
            <m:den>
              <m:r>
                <w:rPr>
                  <w:rFonts w:ascii="Cambria Math" w:eastAsiaTheme="minorEastAsia" w:hAnsi="Cambria Math"/>
                  <w:color w:val="000000" w:themeColor="text1"/>
                </w:rPr>
                <m:t>Total Market Sales or Revenue</m:t>
              </m:r>
            </m:den>
          </m:f>
          <m:r>
            <w:rPr>
              <w:rFonts w:ascii="Cambria Math" w:eastAsiaTheme="minorEastAsia" w:hAnsi="Cambria Math"/>
              <w:color w:val="000000" w:themeColor="text1"/>
            </w:rPr>
            <m:t>×100</m:t>
          </m:r>
        </m:oMath>
      </m:oMathPara>
    </w:p>
    <w:p w14:paraId="253C57C8" w14:textId="77777777" w:rsidR="00E738AE" w:rsidRPr="00C22C47" w:rsidRDefault="00E738AE" w:rsidP="00E738AE">
      <w:pPr>
        <w:pStyle w:val="Heading4"/>
        <w:rPr>
          <w:color w:val="000000" w:themeColor="text1"/>
        </w:rPr>
      </w:pPr>
      <w:r w:rsidRPr="00C22C47">
        <w:rPr>
          <w:color w:val="000000" w:themeColor="text1"/>
        </w:rPr>
        <w:t>Opportunities for private participation</w:t>
      </w:r>
    </w:p>
    <w:p w14:paraId="4DD49EED" w14:textId="4C1EC20B" w:rsidR="00542FE8" w:rsidRPr="00C22C47" w:rsidRDefault="00236E60" w:rsidP="00542FE8">
      <w:pPr>
        <w:rPr>
          <w:color w:val="000000" w:themeColor="text1"/>
        </w:rPr>
      </w:pPr>
      <w:r w:rsidRPr="00C22C47">
        <w:rPr>
          <w:color w:val="000000" w:themeColor="text1"/>
        </w:rPr>
        <w:t>Qualitative metric, depends on multiple factors</w:t>
      </w:r>
      <w:r w:rsidR="001656D9" w:rsidRPr="00C22C47">
        <w:rPr>
          <w:color w:val="000000" w:themeColor="text1"/>
        </w:rPr>
        <w:t xml:space="preserve"> can be defined as the number of available opportunities for participation. </w:t>
      </w:r>
    </w:p>
    <w:p w14:paraId="42035E0C" w14:textId="17005FA3" w:rsidR="00C50CB8" w:rsidRPr="00C22C47" w:rsidRDefault="00E738AE" w:rsidP="00E738AE">
      <w:pPr>
        <w:pStyle w:val="Heading4"/>
        <w:rPr>
          <w:color w:val="000000" w:themeColor="text1"/>
        </w:rPr>
      </w:pPr>
      <w:r w:rsidRPr="00C22C47">
        <w:rPr>
          <w:color w:val="000000" w:themeColor="text1"/>
        </w:rPr>
        <w:t>Degree of local ownership</w:t>
      </w:r>
    </w:p>
    <w:p w14:paraId="5037DB0E" w14:textId="060DB45F" w:rsidR="001656D9" w:rsidRPr="00C22C47" w:rsidRDefault="001656D9" w:rsidP="001656D9">
      <w:pPr>
        <w:rPr>
          <w:color w:val="000000" w:themeColor="text1"/>
        </w:rPr>
      </w:pPr>
      <w:r w:rsidRPr="00C22C47">
        <w:rPr>
          <w:color w:val="000000" w:themeColor="text1"/>
        </w:rPr>
        <w:t xml:space="preserve">Local ownership can be tabulated as under: </w:t>
      </w:r>
    </w:p>
    <w:p w14:paraId="20214B4E" w14:textId="5B7898A8" w:rsidR="001656D9" w:rsidRPr="00C22C47" w:rsidRDefault="003D3370" w:rsidP="001656D9">
      <w:pPr>
        <w:rPr>
          <w:rFonts w:eastAsiaTheme="minorEastAsia"/>
          <w:color w:val="000000" w:themeColor="text1"/>
        </w:rPr>
      </w:pPr>
      <m:oMathPara>
        <m:oMath>
          <m:r>
            <w:rPr>
              <w:rFonts w:ascii="Cambria Math" w:hAnsi="Cambria Math"/>
              <w:color w:val="000000" w:themeColor="text1"/>
            </w:rPr>
            <m:t xml:space="preserve">Local Ownership </m:t>
          </m:r>
          <m:d>
            <m:dPr>
              <m:ctrlPr>
                <w:rPr>
                  <w:rFonts w:ascii="Cambria Math" w:hAnsi="Cambria Math"/>
                  <w:i/>
                  <w:color w:val="000000" w:themeColor="text1"/>
                </w:rPr>
              </m:ctrlPr>
            </m:dPr>
            <m:e>
              <m:r>
                <w:rPr>
                  <w:rFonts w:ascii="Cambria Math" w:hAnsi="Cambria Math"/>
                  <w:color w:val="000000" w:themeColor="text1"/>
                </w:rPr>
                <m:t>%</m:t>
              </m:r>
            </m:e>
          </m:d>
          <m:r>
            <w:rPr>
              <w:rFonts w:ascii="Cambria Math" w:hAnsi="Cambria Math"/>
              <w:color w:val="000000" w:themeColor="text1"/>
            </w:rPr>
            <m:t xml:space="preserve">=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Local Ownership</m:t>
                  </m:r>
                </m:num>
                <m:den>
                  <m:r>
                    <w:rPr>
                      <w:rFonts w:ascii="Cambria Math" w:hAnsi="Cambria Math"/>
                      <w:color w:val="000000" w:themeColor="text1"/>
                    </w:rPr>
                    <m:t>Total Ownership</m:t>
                  </m:r>
                </m:den>
              </m:f>
            </m:e>
          </m:d>
          <m:r>
            <w:rPr>
              <w:rFonts w:ascii="Cambria Math" w:hAnsi="Cambria Math"/>
              <w:color w:val="000000" w:themeColor="text1"/>
            </w:rPr>
            <m:t xml:space="preserve"> × 100</m:t>
          </m:r>
        </m:oMath>
      </m:oMathPara>
    </w:p>
    <w:p w14:paraId="209417F8" w14:textId="77777777" w:rsidR="00403475" w:rsidRPr="00C22C47" w:rsidRDefault="00403475" w:rsidP="00403475">
      <w:pPr>
        <w:spacing w:after="0"/>
        <w:rPr>
          <w:color w:val="000000" w:themeColor="text1"/>
        </w:rPr>
      </w:pPr>
      <w:r w:rsidRPr="00C22C47">
        <w:rPr>
          <w:color w:val="000000" w:themeColor="text1"/>
        </w:rPr>
        <w:t>Local Ownership: The sum of shares, equity, or control held by local stakeholders.</w:t>
      </w:r>
    </w:p>
    <w:p w14:paraId="3EBC9B95" w14:textId="330BF938" w:rsidR="00EC1F1E" w:rsidRPr="00C22C47" w:rsidRDefault="00403475" w:rsidP="00403475">
      <w:pPr>
        <w:spacing w:before="0"/>
        <w:rPr>
          <w:color w:val="000000" w:themeColor="text1"/>
        </w:rPr>
      </w:pPr>
      <w:r w:rsidRPr="00C22C47">
        <w:rPr>
          <w:color w:val="000000" w:themeColor="text1"/>
        </w:rPr>
        <w:t>Total Ownership: The total sum of all shares, equity, or control in the business or project.</w:t>
      </w:r>
    </w:p>
    <w:p w14:paraId="3DF3A75B" w14:textId="77777777" w:rsidR="00E738AE" w:rsidRPr="00C22C47" w:rsidRDefault="00E738AE" w:rsidP="00601C3C">
      <w:pPr>
        <w:pStyle w:val="Heading3"/>
      </w:pPr>
      <w:bookmarkStart w:id="49" w:name="_Resource_Efficiency"/>
      <w:bookmarkStart w:id="50" w:name="_Toc146147256"/>
      <w:bookmarkEnd w:id="49"/>
      <w:r w:rsidRPr="00C22C47">
        <w:t>Resource Efficiency</w:t>
      </w:r>
      <w:bookmarkEnd w:id="50"/>
      <w:r w:rsidRPr="00C22C47">
        <w:t xml:space="preserve"> </w:t>
      </w:r>
    </w:p>
    <w:p w14:paraId="275014C0" w14:textId="77777777" w:rsidR="00801AB6" w:rsidRPr="00C22C47" w:rsidRDefault="00801AB6" w:rsidP="00601C3C">
      <w:pPr>
        <w:pStyle w:val="Heading4"/>
        <w:rPr>
          <w:color w:val="000000" w:themeColor="text1"/>
        </w:rPr>
      </w:pPr>
      <w:r w:rsidRPr="00C22C47">
        <w:rPr>
          <w:color w:val="000000" w:themeColor="text1"/>
        </w:rPr>
        <w:t>Energy Efficiency</w:t>
      </w:r>
    </w:p>
    <w:p w14:paraId="4BBC3DED" w14:textId="072F81DE" w:rsidR="00403475" w:rsidRPr="00C22C47" w:rsidRDefault="00A622B8" w:rsidP="00403475">
      <w:pPr>
        <w:rPr>
          <w:rFonts w:eastAsiaTheme="minorEastAsia"/>
          <w:color w:val="000000" w:themeColor="text1"/>
        </w:rPr>
      </w:pPr>
      <m:oMathPara>
        <m:oMath>
          <m:r>
            <w:rPr>
              <w:rFonts w:ascii="Cambria Math" w:hAnsi="Cambria Math"/>
              <w:color w:val="000000" w:themeColor="text1"/>
            </w:rPr>
            <m:t>Efficiency =</m:t>
          </m:r>
          <m:f>
            <m:fPr>
              <m:ctrlPr>
                <w:rPr>
                  <w:rFonts w:ascii="Cambria Math" w:hAnsi="Cambria Math"/>
                  <w:i/>
                  <w:color w:val="000000" w:themeColor="text1"/>
                </w:rPr>
              </m:ctrlPr>
            </m:fPr>
            <m:num>
              <m:r>
                <w:rPr>
                  <w:rFonts w:ascii="Cambria Math" w:hAnsi="Cambria Math"/>
                  <w:color w:val="000000" w:themeColor="text1"/>
                </w:rPr>
                <m:t>Useful Energy Output</m:t>
              </m:r>
            </m:num>
            <m:den>
              <m:r>
                <w:rPr>
                  <w:rFonts w:ascii="Cambria Math" w:hAnsi="Cambria Math"/>
                  <w:color w:val="000000" w:themeColor="text1"/>
                </w:rPr>
                <m:t>Total Energy Input</m:t>
              </m:r>
            </m:den>
          </m:f>
          <m:r>
            <w:rPr>
              <w:rFonts w:ascii="Cambria Math" w:hAnsi="Cambria Math"/>
              <w:color w:val="000000" w:themeColor="text1"/>
            </w:rPr>
            <m:t>×100</m:t>
          </m:r>
        </m:oMath>
      </m:oMathPara>
    </w:p>
    <w:p w14:paraId="41DC0CC8" w14:textId="1432CA3A" w:rsidR="00A622B8" w:rsidRPr="00C22C47" w:rsidRDefault="001F7AA0" w:rsidP="00403475">
      <w:pPr>
        <w:rPr>
          <w:color w:val="000000" w:themeColor="text1"/>
        </w:rPr>
      </w:pPr>
      <w:r w:rsidRPr="00C22C47">
        <w:rPr>
          <w:rFonts w:eastAsiaTheme="minorEastAsia"/>
          <w:color w:val="000000" w:themeColor="text1"/>
        </w:rPr>
        <w:t xml:space="preserve">The above formulae is used to calculate overall efficiency. It can be applied to other processes as well. </w:t>
      </w:r>
    </w:p>
    <w:p w14:paraId="22AF7C1E" w14:textId="21E27E16" w:rsidR="00801AB6" w:rsidRPr="00C22C47" w:rsidRDefault="00801AB6" w:rsidP="00601C3C">
      <w:pPr>
        <w:pStyle w:val="Heading4"/>
        <w:rPr>
          <w:color w:val="000000" w:themeColor="text1"/>
        </w:rPr>
      </w:pPr>
      <w:r w:rsidRPr="00C22C47">
        <w:rPr>
          <w:color w:val="000000" w:themeColor="text1"/>
        </w:rPr>
        <w:t>Energy Reduction</w:t>
      </w:r>
      <w:r w:rsidR="00CB5202" w:rsidRPr="00C22C47">
        <w:rPr>
          <w:color w:val="000000" w:themeColor="text1"/>
        </w:rPr>
        <w:t xml:space="preserve"> (ER)</w:t>
      </w:r>
    </w:p>
    <w:p w14:paraId="2D28F354" w14:textId="34FBCB09" w:rsidR="00CB5202" w:rsidRPr="00C22C47" w:rsidRDefault="00CB5202" w:rsidP="00CB5202">
      <w:pPr>
        <w:rPr>
          <w:color w:val="000000" w:themeColor="text1"/>
        </w:rPr>
      </w:pPr>
      <w:r w:rsidRPr="00C22C47">
        <w:rPr>
          <w:color w:val="000000" w:themeColor="text1"/>
        </w:rPr>
        <w:t xml:space="preserve">It can be calculated as below: </w:t>
      </w:r>
    </w:p>
    <w:p w14:paraId="7A8B99D0" w14:textId="4436F1EE" w:rsidR="00CB5202" w:rsidRPr="00C22C47" w:rsidRDefault="00CB5202" w:rsidP="00CB5202">
      <w:pPr>
        <w:rPr>
          <w:rFonts w:eastAsiaTheme="minorEastAsia"/>
          <w:color w:val="000000" w:themeColor="text1"/>
        </w:rPr>
      </w:pPr>
      <m:oMathPara>
        <m:oMath>
          <m:r>
            <w:rPr>
              <w:rFonts w:ascii="Cambria Math" w:hAnsi="Cambria Math"/>
              <w:color w:val="000000" w:themeColor="text1"/>
            </w:rPr>
            <m:t xml:space="preserve">ER </m:t>
          </m:r>
          <m:d>
            <m:dPr>
              <m:ctrlPr>
                <w:rPr>
                  <w:rFonts w:ascii="Cambria Math" w:hAnsi="Cambria Math"/>
                  <w:i/>
                  <w:color w:val="000000" w:themeColor="text1"/>
                </w:rPr>
              </m:ctrlPr>
            </m:dPr>
            <m:e>
              <m:r>
                <w:rPr>
                  <w:rFonts w:ascii="Cambria Math" w:hAnsi="Cambria Math"/>
                  <w:color w:val="000000" w:themeColor="text1"/>
                </w:rPr>
                <m:t>%</m:t>
              </m:r>
            </m:e>
          </m:d>
          <m:r>
            <w:rPr>
              <w:rFonts w:ascii="Cambria Math" w:hAnsi="Cambria Math"/>
              <w:color w:val="000000" w:themeColor="text1"/>
            </w:rPr>
            <m:t>=</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d>
                    <m:dPr>
                      <m:ctrlPr>
                        <w:rPr>
                          <w:rFonts w:ascii="Cambria Math" w:hAnsi="Cambria Math"/>
                          <w:i/>
                          <w:color w:val="000000" w:themeColor="text1"/>
                        </w:rPr>
                      </m:ctrlPr>
                    </m:dPr>
                    <m:e>
                      <m:r>
                        <w:rPr>
                          <w:rFonts w:ascii="Cambria Math" w:hAnsi="Cambria Math"/>
                          <w:color w:val="000000" w:themeColor="text1"/>
                        </w:rPr>
                        <m:t>Initial Energy Cons. - Final Energy Cons.</m:t>
                      </m:r>
                    </m:e>
                  </m:d>
                </m:num>
                <m:den>
                  <m:r>
                    <w:rPr>
                      <w:rFonts w:ascii="Cambria Math" w:hAnsi="Cambria Math"/>
                      <w:color w:val="000000" w:themeColor="text1"/>
                    </w:rPr>
                    <m:t>Initial Energy Cons.</m:t>
                  </m:r>
                </m:den>
              </m:f>
            </m:e>
          </m:d>
          <m:r>
            <w:rPr>
              <w:rFonts w:ascii="Cambria Math" w:hAnsi="Cambria Math"/>
              <w:color w:val="000000" w:themeColor="text1"/>
            </w:rPr>
            <m:t xml:space="preserve"> × 100</m:t>
          </m:r>
        </m:oMath>
      </m:oMathPara>
    </w:p>
    <w:p w14:paraId="1FBF0D5C" w14:textId="264FC22C" w:rsidR="00CB5202" w:rsidRPr="00C22C47" w:rsidRDefault="00C22C47" w:rsidP="00CB5202">
      <w:pPr>
        <w:rPr>
          <w:rFonts w:eastAsiaTheme="minorEastAsia"/>
          <w:color w:val="000000" w:themeColor="text1"/>
        </w:rPr>
      </w:pPr>
      <w:r w:rsidRPr="00C22C47">
        <w:rPr>
          <w:rFonts w:eastAsiaTheme="minorEastAsia"/>
          <w:color w:val="000000" w:themeColor="text1"/>
        </w:rPr>
        <w:t xml:space="preserve">Where, </w:t>
      </w:r>
    </w:p>
    <w:p w14:paraId="2F3AEBC8" w14:textId="77777777" w:rsidR="00C22C47" w:rsidRPr="00C22C47" w:rsidRDefault="00C22C47" w:rsidP="00C22C47">
      <w:pPr>
        <w:spacing w:before="0" w:after="0"/>
        <w:rPr>
          <w:color w:val="000000" w:themeColor="text1"/>
        </w:rPr>
      </w:pPr>
      <w:r w:rsidRPr="00C22C47">
        <w:rPr>
          <w:color w:val="000000" w:themeColor="text1"/>
        </w:rPr>
        <w:t>Initial Energy Consumption: The amount of energy consumed before implementing energy-saving measures.</w:t>
      </w:r>
    </w:p>
    <w:p w14:paraId="03E2689F" w14:textId="027430C0" w:rsidR="00C22C47" w:rsidRPr="00C22C47" w:rsidRDefault="00C22C47" w:rsidP="00C22C47">
      <w:pPr>
        <w:spacing w:before="0" w:after="0"/>
        <w:rPr>
          <w:color w:val="000000" w:themeColor="text1"/>
        </w:rPr>
      </w:pPr>
      <w:r w:rsidRPr="00C22C47">
        <w:rPr>
          <w:color w:val="000000" w:themeColor="text1"/>
        </w:rPr>
        <w:t>Final Energy Consumption: The amount of energy consumed after implementing energy-saving measures.</w:t>
      </w:r>
    </w:p>
    <w:p w14:paraId="7586D95B" w14:textId="0EBA6448" w:rsidR="00137628" w:rsidRDefault="00137628" w:rsidP="00601C3C">
      <w:pPr>
        <w:pStyle w:val="Heading4"/>
        <w:rPr>
          <w:color w:val="000000" w:themeColor="text1"/>
        </w:rPr>
      </w:pPr>
      <w:r w:rsidRPr="00C22C47">
        <w:rPr>
          <w:color w:val="000000" w:themeColor="text1"/>
        </w:rPr>
        <w:t>Raw material Input</w:t>
      </w:r>
    </w:p>
    <w:p w14:paraId="47A09608" w14:textId="3F1C8D7A" w:rsidR="00C0469A" w:rsidRDefault="00C0469A" w:rsidP="00C0469A">
      <w:r>
        <w:t xml:space="preserve">Raw material input can be calculated as the sum of the total raw material used. </w:t>
      </w:r>
    </w:p>
    <w:p w14:paraId="66CA1E65" w14:textId="67A8CC50" w:rsidR="00C0469A" w:rsidRPr="00C0469A" w:rsidRDefault="00C0469A" w:rsidP="00C0469A">
      <m:oMathPara>
        <m:oMath>
          <m:r>
            <w:rPr>
              <w:rFonts w:ascii="Cambria Math" w:hAnsi="Cambria Math"/>
            </w:rPr>
            <m:t xml:space="preserve">Raw Material Input = </m:t>
          </m:r>
          <m:nary>
            <m:naryPr>
              <m:chr m:val="∑"/>
              <m:limLoc m:val="undOvr"/>
              <m:subHide m:val="1"/>
              <m:supHide m:val="1"/>
              <m:ctrlPr>
                <w:rPr>
                  <w:rFonts w:ascii="Cambria Math" w:hAnsi="Cambria Math"/>
                  <w:i/>
                </w:rPr>
              </m:ctrlPr>
            </m:naryPr>
            <m:sub/>
            <m:sup/>
            <m:e>
              <m:r>
                <w:rPr>
                  <w:rFonts w:ascii="Cambria Math" w:hAnsi="Cambria Math"/>
                </w:rPr>
                <m:t>Raw material used</m:t>
              </m:r>
            </m:e>
          </m:nary>
        </m:oMath>
      </m:oMathPara>
    </w:p>
    <w:p w14:paraId="7CC904D7" w14:textId="77777777" w:rsidR="00801AB6" w:rsidRPr="00C22C47" w:rsidRDefault="00801AB6" w:rsidP="00801AB6">
      <w:pPr>
        <w:spacing w:before="0"/>
        <w:jc w:val="left"/>
        <w:rPr>
          <w:color w:val="000000" w:themeColor="text1"/>
        </w:rPr>
      </w:pPr>
    </w:p>
    <w:p w14:paraId="4B61EE77" w14:textId="77777777" w:rsidR="00801AB6" w:rsidRPr="00C22C47" w:rsidRDefault="00801AB6" w:rsidP="00601C3C">
      <w:pPr>
        <w:pStyle w:val="Heading3"/>
      </w:pPr>
      <w:bookmarkStart w:id="51" w:name="_Risk_and_Security"/>
      <w:bookmarkStart w:id="52" w:name="_Toc146147257"/>
      <w:bookmarkEnd w:id="51"/>
      <w:r w:rsidRPr="00C22C47">
        <w:t>Risk and Security</w:t>
      </w:r>
      <w:bookmarkEnd w:id="52"/>
      <w:r w:rsidRPr="00C22C47">
        <w:t xml:space="preserve"> </w:t>
      </w:r>
    </w:p>
    <w:p w14:paraId="57F6A59D" w14:textId="77777777" w:rsidR="00137628" w:rsidRDefault="00137628" w:rsidP="00601C3C">
      <w:pPr>
        <w:pStyle w:val="Heading4"/>
        <w:rPr>
          <w:color w:val="000000" w:themeColor="text1"/>
        </w:rPr>
      </w:pPr>
      <w:r w:rsidRPr="00C22C47">
        <w:rPr>
          <w:color w:val="000000" w:themeColor="text1"/>
        </w:rPr>
        <w:t>Dependence on fossil fuels</w:t>
      </w:r>
    </w:p>
    <w:p w14:paraId="2E485B2B" w14:textId="19488BC7" w:rsidR="00B00207" w:rsidRDefault="00B00207" w:rsidP="00B00207">
      <w:r>
        <w:t>To calculate dependence on fossil fuels, you can use a simple formula:</w:t>
      </w:r>
    </w:p>
    <w:p w14:paraId="5CE32E23" w14:textId="7C06DC8B" w:rsidR="00520D24" w:rsidRPr="00B00207" w:rsidRDefault="00B00207" w:rsidP="00B00207">
      <w:pPr>
        <w:rPr>
          <w:rFonts w:eastAsiaTheme="minorEastAsia"/>
        </w:rPr>
      </w:pPr>
      <m:oMathPara>
        <m:oMath>
          <m:r>
            <w:rPr>
              <w:rFonts w:ascii="Cambria Math" w:hAnsi="Cambria Math"/>
            </w:rPr>
            <m:t xml:space="preserve">Fossil Fuel Dependence (%) = </m:t>
          </m:r>
          <m:d>
            <m:dPr>
              <m:ctrlPr>
                <w:rPr>
                  <w:rFonts w:ascii="Cambria Math" w:hAnsi="Cambria Math"/>
                  <w:i/>
                </w:rPr>
              </m:ctrlPr>
            </m:dPr>
            <m:e>
              <m:f>
                <m:fPr>
                  <m:ctrlPr>
                    <w:rPr>
                      <w:rFonts w:ascii="Cambria Math" w:hAnsi="Cambria Math"/>
                      <w:i/>
                    </w:rPr>
                  </m:ctrlPr>
                </m:fPr>
                <m:num>
                  <m:r>
                    <w:rPr>
                      <w:rFonts w:ascii="Cambria Math" w:hAnsi="Cambria Math"/>
                    </w:rPr>
                    <m:t>Fossil Fuel Energy Cons.</m:t>
                  </m:r>
                </m:num>
                <m:den>
                  <m:r>
                    <w:rPr>
                      <w:rFonts w:ascii="Cambria Math" w:hAnsi="Cambria Math"/>
                    </w:rPr>
                    <m:t>Total Energy Cons.</m:t>
                  </m:r>
                </m:den>
              </m:f>
            </m:e>
          </m:d>
          <m:r>
            <w:rPr>
              <w:rFonts w:ascii="Cambria Math" w:hAnsi="Cambria Math"/>
            </w:rPr>
            <m:t xml:space="preserve"> × 100</m:t>
          </m:r>
        </m:oMath>
      </m:oMathPara>
    </w:p>
    <w:p w14:paraId="5ECC2DE8" w14:textId="77777777" w:rsidR="005B57E3" w:rsidRDefault="005B57E3" w:rsidP="005B57E3">
      <w:pPr>
        <w:spacing w:before="0" w:after="0"/>
      </w:pPr>
      <w:r>
        <w:t>Fossil Fuel Energy Consumption: The amount of energy consumed from fossil fuels.</w:t>
      </w:r>
    </w:p>
    <w:p w14:paraId="0F234286" w14:textId="5A0A0249" w:rsidR="00B00207" w:rsidRPr="00520D24" w:rsidRDefault="005B57E3" w:rsidP="005B57E3">
      <w:pPr>
        <w:spacing w:before="0" w:after="0"/>
      </w:pPr>
      <w:r>
        <w:t>Total Energy Consumption: The total energy consumption from all sources.</w:t>
      </w:r>
    </w:p>
    <w:p w14:paraId="2C3C5BB1" w14:textId="77777777" w:rsidR="00137628" w:rsidRDefault="00137628" w:rsidP="00601C3C">
      <w:pPr>
        <w:pStyle w:val="Heading4"/>
        <w:rPr>
          <w:color w:val="000000" w:themeColor="text1"/>
        </w:rPr>
      </w:pPr>
      <w:r w:rsidRPr="00C22C47">
        <w:rPr>
          <w:color w:val="000000" w:themeColor="text1"/>
        </w:rPr>
        <w:t>Supply and Export Security</w:t>
      </w:r>
    </w:p>
    <w:p w14:paraId="23AC8D81" w14:textId="169FAADF" w:rsidR="005B57E3" w:rsidRPr="005B57E3" w:rsidRDefault="005B57E3" w:rsidP="005B57E3">
      <w:r w:rsidRPr="005B57E3">
        <w:t>Supply and export security assesses the reliability of energy supply sources and the potential impact of energy exports on an entity's economy.</w:t>
      </w:r>
      <w:r>
        <w:t xml:space="preserve"> It may be calculated based on a risk matrix for the bill of components</w:t>
      </w:r>
      <w:r w:rsidR="00853DE3">
        <w:t xml:space="preserve"> or raw material and their supplier countries or regions. </w:t>
      </w:r>
    </w:p>
    <w:p w14:paraId="22965F1B" w14:textId="77777777" w:rsidR="00137628" w:rsidRDefault="00137628" w:rsidP="00601C3C">
      <w:pPr>
        <w:pStyle w:val="Heading4"/>
        <w:rPr>
          <w:color w:val="000000" w:themeColor="text1"/>
        </w:rPr>
      </w:pPr>
      <w:r w:rsidRPr="00C22C47">
        <w:rPr>
          <w:color w:val="000000" w:themeColor="text1"/>
        </w:rPr>
        <w:t>Import dependence</w:t>
      </w:r>
    </w:p>
    <w:p w14:paraId="5126BF8F" w14:textId="2E09E3E4" w:rsidR="00853DE3" w:rsidRPr="00853DE3" w:rsidRDefault="00853DE3" w:rsidP="00853DE3">
      <w:pPr>
        <w:rPr>
          <w:rFonts w:eastAsiaTheme="minorEastAsia"/>
        </w:rPr>
      </w:pPr>
      <m:oMathPara>
        <m:oMath>
          <m:r>
            <w:rPr>
              <w:rFonts w:ascii="Cambria Math" w:hAnsi="Cambria Math"/>
            </w:rPr>
            <m:t xml:space="preserve">Import Dependence (%) = </m:t>
          </m:r>
          <m:d>
            <m:dPr>
              <m:ctrlPr>
                <w:rPr>
                  <w:rFonts w:ascii="Cambria Math" w:hAnsi="Cambria Math"/>
                  <w:i/>
                </w:rPr>
              </m:ctrlPr>
            </m:dPr>
            <m:e>
              <m:f>
                <m:fPr>
                  <m:ctrlPr>
                    <w:rPr>
                      <w:rFonts w:ascii="Cambria Math" w:hAnsi="Cambria Math"/>
                      <w:i/>
                    </w:rPr>
                  </m:ctrlPr>
                </m:fPr>
                <m:num>
                  <m:r>
                    <w:rPr>
                      <w:rFonts w:ascii="Cambria Math" w:hAnsi="Cambria Math"/>
                    </w:rPr>
                    <m:t>Energy Imports</m:t>
                  </m:r>
                </m:num>
                <m:den>
                  <m:r>
                    <w:rPr>
                      <w:rFonts w:ascii="Cambria Math" w:hAnsi="Cambria Math"/>
                    </w:rPr>
                    <m:t>Total Energy Cons.</m:t>
                  </m:r>
                </m:den>
              </m:f>
            </m:e>
          </m:d>
          <m:r>
            <w:rPr>
              <w:rFonts w:ascii="Cambria Math" w:hAnsi="Cambria Math"/>
            </w:rPr>
            <m:t>× 100</m:t>
          </m:r>
        </m:oMath>
      </m:oMathPara>
    </w:p>
    <w:p w14:paraId="3B0305EF" w14:textId="77777777" w:rsidR="00DC43EE" w:rsidRDefault="00DC43EE" w:rsidP="00DC43EE">
      <w:pPr>
        <w:spacing w:before="0" w:after="0"/>
      </w:pPr>
      <w:r>
        <w:t>Energy Imports: The total amount of energy imported.</w:t>
      </w:r>
    </w:p>
    <w:p w14:paraId="4033BA16" w14:textId="7E078061" w:rsidR="00853DE3" w:rsidRPr="00853DE3" w:rsidRDefault="00DC43EE" w:rsidP="00DC43EE">
      <w:pPr>
        <w:spacing w:before="0" w:after="0"/>
      </w:pPr>
      <w:r>
        <w:t>Total Energy Consumption: The total energy consumption from all sources.</w:t>
      </w:r>
    </w:p>
    <w:p w14:paraId="7DCB656C" w14:textId="77777777" w:rsidR="00137628" w:rsidRDefault="00137628" w:rsidP="00601C3C">
      <w:pPr>
        <w:pStyle w:val="Heading4"/>
        <w:rPr>
          <w:color w:val="000000" w:themeColor="text1"/>
        </w:rPr>
      </w:pPr>
      <w:r w:rsidRPr="00C22C47">
        <w:rPr>
          <w:color w:val="000000" w:themeColor="text1"/>
        </w:rPr>
        <w:t>Availability of primary energy supply</w:t>
      </w:r>
    </w:p>
    <w:p w14:paraId="5A7DF1D1" w14:textId="578C9498" w:rsidR="00DC43EE" w:rsidRDefault="00DC43EE" w:rsidP="00DC43EE">
      <w:r>
        <w:t>This metric may involve various indicators and assessments, but a simplified formula could be:</w:t>
      </w:r>
    </w:p>
    <w:p w14:paraId="1CD64AEC" w14:textId="1181579B" w:rsidR="00DC43EE" w:rsidRPr="00DC43EE" w:rsidRDefault="00DC43EE" w:rsidP="00DC43EE">
      <w:pPr>
        <w:rPr>
          <w:rFonts w:eastAsiaTheme="minorEastAsia"/>
        </w:rPr>
      </w:pPr>
      <m:oMathPara>
        <m:oMath>
          <m:r>
            <w:rPr>
              <w:rFonts w:ascii="Cambria Math" w:hAnsi="Cambria Math"/>
            </w:rPr>
            <m:t xml:space="preserve">Availability Index = </m:t>
          </m:r>
          <m:d>
            <m:dPr>
              <m:ctrlPr>
                <w:rPr>
                  <w:rFonts w:ascii="Cambria Math" w:hAnsi="Cambria Math"/>
                  <w:i/>
                </w:rPr>
              </m:ctrlPr>
            </m:dPr>
            <m:e>
              <m:f>
                <m:fPr>
                  <m:ctrlPr>
                    <w:rPr>
                      <w:rFonts w:ascii="Cambria Math" w:hAnsi="Cambria Math"/>
                      <w:i/>
                    </w:rPr>
                  </m:ctrlPr>
                </m:fPr>
                <m:num>
                  <m:r>
                    <w:rPr>
                      <w:rFonts w:ascii="Cambria Math" w:hAnsi="Cambria Math"/>
                    </w:rPr>
                    <m:t>Available Primary Energy Reserves</m:t>
                  </m:r>
                </m:num>
                <m:den>
                  <m:r>
                    <w:rPr>
                      <w:rFonts w:ascii="Cambria Math" w:hAnsi="Cambria Math"/>
                    </w:rPr>
                    <m:t>Annual Primary Energy Cons.</m:t>
                  </m:r>
                </m:den>
              </m:f>
            </m:e>
          </m:d>
        </m:oMath>
      </m:oMathPara>
    </w:p>
    <w:p w14:paraId="281842C8" w14:textId="6B31E04D" w:rsidR="00DC43EE" w:rsidRDefault="00E54418" w:rsidP="00DC43EE">
      <w:pPr>
        <w:rPr>
          <w:rFonts w:eastAsiaTheme="minorEastAsia"/>
        </w:rPr>
      </w:pPr>
      <w:r>
        <w:rPr>
          <w:rFonts w:eastAsiaTheme="minorEastAsia"/>
        </w:rPr>
        <w:t xml:space="preserve">Where, </w:t>
      </w:r>
    </w:p>
    <w:p w14:paraId="10BAEAE9" w14:textId="77777777" w:rsidR="00E54418" w:rsidRDefault="00E54418" w:rsidP="00E54418">
      <w:pPr>
        <w:spacing w:before="0" w:after="0"/>
      </w:pPr>
      <w:r>
        <w:t>Available Primary Energy Reserves: The estimated reserves of primary energy sources.</w:t>
      </w:r>
    </w:p>
    <w:p w14:paraId="6DD2988D" w14:textId="77777777" w:rsidR="00E54418" w:rsidRDefault="00E54418" w:rsidP="00E54418">
      <w:pPr>
        <w:spacing w:before="0" w:after="0"/>
      </w:pPr>
      <w:r>
        <w:t>Annual Primary Energy Consumption: The total consumption of primary energy sources in a year.</w:t>
      </w:r>
    </w:p>
    <w:p w14:paraId="319E4DB8" w14:textId="43334F7F" w:rsidR="00E54418" w:rsidRPr="00DC43EE" w:rsidRDefault="00E54418" w:rsidP="00E54418">
      <w:pPr>
        <w:spacing w:before="0" w:after="0"/>
      </w:pPr>
      <w:r>
        <w:t>A higher index value suggests better availability.</w:t>
      </w:r>
    </w:p>
    <w:p w14:paraId="5BE1D181" w14:textId="77777777" w:rsidR="00137628" w:rsidRDefault="00137628" w:rsidP="00601C3C">
      <w:pPr>
        <w:pStyle w:val="Heading4"/>
        <w:rPr>
          <w:color w:val="000000" w:themeColor="text1"/>
        </w:rPr>
      </w:pPr>
      <w:r w:rsidRPr="00C22C47">
        <w:rPr>
          <w:color w:val="000000" w:themeColor="text1"/>
        </w:rPr>
        <w:t>Risk Assessment &amp; Management</w:t>
      </w:r>
    </w:p>
    <w:p w14:paraId="3857B0C3" w14:textId="41ACD5DF" w:rsidR="00137628" w:rsidRPr="00C22C47" w:rsidRDefault="00E54418" w:rsidP="006B0354">
      <w:pPr>
        <w:rPr>
          <w:color w:val="000000" w:themeColor="text1"/>
        </w:rPr>
      </w:pPr>
      <w:r>
        <w:t xml:space="preserve">Risk assessment can be performed using a risk matrix generated for the </w:t>
      </w:r>
      <w:r w:rsidR="006B0354">
        <w:t xml:space="preserve">potential risk in the supply chain or production. These can be defined as low, medium and high depending upon the sources and other factors. </w:t>
      </w:r>
    </w:p>
    <w:p w14:paraId="4584099F" w14:textId="77777777" w:rsidR="00137628" w:rsidRPr="00C22C47" w:rsidRDefault="00137628" w:rsidP="00601C3C">
      <w:pPr>
        <w:pStyle w:val="Heading3"/>
      </w:pPr>
      <w:bookmarkStart w:id="53" w:name="_Regulatory_compliance"/>
      <w:bookmarkStart w:id="54" w:name="_Toc146147258"/>
      <w:bookmarkEnd w:id="53"/>
      <w:r w:rsidRPr="00C22C47">
        <w:t>Regulatory compliance</w:t>
      </w:r>
      <w:bookmarkEnd w:id="54"/>
    </w:p>
    <w:p w14:paraId="6B0A9A62" w14:textId="77777777" w:rsidR="00601C3C" w:rsidRDefault="00601C3C" w:rsidP="00601C3C">
      <w:pPr>
        <w:pStyle w:val="Heading4"/>
        <w:rPr>
          <w:color w:val="000000" w:themeColor="text1"/>
        </w:rPr>
      </w:pPr>
      <w:r w:rsidRPr="00C22C47">
        <w:rPr>
          <w:color w:val="000000" w:themeColor="text1"/>
        </w:rPr>
        <w:t>Legal regulation of activities</w:t>
      </w:r>
    </w:p>
    <w:p w14:paraId="1599ADF8" w14:textId="45A3C92F" w:rsidR="007B42D7" w:rsidRPr="007B42D7" w:rsidRDefault="00BB6701" w:rsidP="007B42D7">
      <w:r>
        <w:t xml:space="preserve">It is a qualitative measure. </w:t>
      </w:r>
    </w:p>
    <w:p w14:paraId="10D19359" w14:textId="77777777" w:rsidR="00601C3C" w:rsidRDefault="00601C3C" w:rsidP="00601C3C">
      <w:pPr>
        <w:pStyle w:val="Heading4"/>
        <w:rPr>
          <w:color w:val="000000" w:themeColor="text1"/>
        </w:rPr>
      </w:pPr>
      <w:r w:rsidRPr="00C22C47">
        <w:rPr>
          <w:color w:val="000000" w:themeColor="text1"/>
        </w:rPr>
        <w:t>Government's supportive energy policies and regulations</w:t>
      </w:r>
    </w:p>
    <w:p w14:paraId="7C7BC31B" w14:textId="77777777" w:rsidR="00BB6701" w:rsidRPr="007B42D7" w:rsidRDefault="00BB6701" w:rsidP="00BB6701">
      <w:r>
        <w:t xml:space="preserve">It is a qualitative measure. </w:t>
      </w:r>
    </w:p>
    <w:p w14:paraId="530E669E" w14:textId="77777777" w:rsidR="00601C3C" w:rsidRDefault="00601C3C" w:rsidP="00601C3C">
      <w:pPr>
        <w:pStyle w:val="Heading4"/>
        <w:rPr>
          <w:color w:val="000000" w:themeColor="text1"/>
        </w:rPr>
      </w:pPr>
      <w:r w:rsidRPr="00C22C47">
        <w:rPr>
          <w:color w:val="000000" w:themeColor="text1"/>
        </w:rPr>
        <w:t>Compliance with international obligations</w:t>
      </w:r>
    </w:p>
    <w:p w14:paraId="67F034C0" w14:textId="3AF1267D" w:rsidR="00BB6701" w:rsidRPr="00BB6701" w:rsidRDefault="00400281" w:rsidP="00BB6701">
      <w:r w:rsidRPr="00400281">
        <w:t>This metric doesn't have a mathematical formula. It involves examining a country's or entity's participation in international agreements (e.g., Paris Agreement, Kyoto Protocol) and assessing their efforts to meet the obligations outlined in those agreements.</w:t>
      </w:r>
    </w:p>
    <w:p w14:paraId="4D86B118" w14:textId="77777777" w:rsidR="00601C3C" w:rsidRDefault="00601C3C" w:rsidP="00601C3C">
      <w:pPr>
        <w:pStyle w:val="Heading4"/>
        <w:rPr>
          <w:color w:val="000000" w:themeColor="text1"/>
        </w:rPr>
      </w:pPr>
      <w:r w:rsidRPr="00C22C47">
        <w:rPr>
          <w:color w:val="000000" w:themeColor="text1"/>
        </w:rPr>
        <w:t>Leveraging energy for national development programs.</w:t>
      </w:r>
    </w:p>
    <w:p w14:paraId="401C5B1F" w14:textId="6B64302E" w:rsidR="00601C3C" w:rsidRPr="00C22C47" w:rsidRDefault="00400281" w:rsidP="00400281">
      <w:pPr>
        <w:rPr>
          <w:color w:val="000000" w:themeColor="text1"/>
        </w:rPr>
      </w:pPr>
      <w:r w:rsidRPr="00400281">
        <w:t>It involves evaluating the impact of energy-related programs and policies on national development outcomes. Indicators like GDP growth, employment rates, and access to energy services may be considered.</w:t>
      </w:r>
    </w:p>
    <w:p w14:paraId="0A242154" w14:textId="0883BEF8" w:rsidR="00601C3C" w:rsidRPr="00C22C47" w:rsidRDefault="00601C3C" w:rsidP="00601C3C">
      <w:pPr>
        <w:pStyle w:val="Heading2"/>
      </w:pPr>
      <w:bookmarkStart w:id="55" w:name="_Toc146147259"/>
      <w:r w:rsidRPr="00C22C47">
        <w:t>Environmental Metric</w:t>
      </w:r>
      <w:bookmarkEnd w:id="55"/>
    </w:p>
    <w:p w14:paraId="2F59893E" w14:textId="77777777" w:rsidR="007057BD" w:rsidRPr="00C22C47" w:rsidRDefault="007057BD" w:rsidP="007F46FE">
      <w:pPr>
        <w:pStyle w:val="Heading3"/>
      </w:pPr>
      <w:bookmarkStart w:id="56" w:name="_Resource_Use_and"/>
      <w:bookmarkStart w:id="57" w:name="_Toc146147260"/>
      <w:bookmarkEnd w:id="56"/>
      <w:r w:rsidRPr="00C22C47">
        <w:t>Resource Use and Pollution</w:t>
      </w:r>
      <w:bookmarkEnd w:id="57"/>
    </w:p>
    <w:p w14:paraId="3EB96F4C" w14:textId="77777777" w:rsidR="00F068AE" w:rsidRDefault="00F068AE" w:rsidP="007F46FE">
      <w:pPr>
        <w:pStyle w:val="Heading4"/>
        <w:rPr>
          <w:color w:val="000000" w:themeColor="text1"/>
        </w:rPr>
      </w:pPr>
      <w:r w:rsidRPr="00C22C47">
        <w:rPr>
          <w:color w:val="000000" w:themeColor="text1"/>
        </w:rPr>
        <w:t>Water Pollution</w:t>
      </w:r>
    </w:p>
    <w:p w14:paraId="3E88E431" w14:textId="530FF5C1" w:rsidR="000530E7" w:rsidRDefault="000530E7" w:rsidP="000530E7">
      <w:r>
        <w:t>Water pollution can be tabulated using the water quality index (WQI)</w:t>
      </w:r>
    </w:p>
    <w:p w14:paraId="2C4FF895" w14:textId="3EC7F540" w:rsidR="00961382" w:rsidRPr="00961382" w:rsidRDefault="00961382" w:rsidP="000530E7">
      <w:pPr>
        <w:rPr>
          <w:rFonts w:eastAsiaTheme="minorEastAsia"/>
        </w:rPr>
      </w:pPr>
      <m:oMathPara>
        <m:oMath>
          <m:r>
            <w:rPr>
              <w:rFonts w:ascii="Cambria Math" w:hAnsi="Cambria Math"/>
            </w:rPr>
            <m:t xml:space="preserve">WQI =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m:t>
                      </m:r>
                    </m:sub>
                  </m:sSub>
                </m:e>
              </m:nary>
              <m:r>
                <w:rPr>
                  <w:rFonts w:ascii="Cambria Math" w:hAnsi="Cambria Math"/>
                </w:rPr>
                <m:t xml:space="preserve">  </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r>
            <w:rPr>
              <w:rFonts w:ascii="Cambria Math" w:hAnsi="Cambria Math"/>
            </w:rPr>
            <m:t xml:space="preserve"> </m:t>
          </m:r>
        </m:oMath>
      </m:oMathPara>
    </w:p>
    <w:p w14:paraId="4C43BE79" w14:textId="3E65277F" w:rsidR="008E7821" w:rsidRDefault="008E7821" w:rsidP="0087568C">
      <w:pPr>
        <w:spacing w:before="0" w:after="0"/>
        <w:rPr>
          <w:rFonts w:eastAsiaTheme="minorEastAsia"/>
        </w:rPr>
      </w:pPr>
      <w:r>
        <w:rPr>
          <w:rFonts w:eastAsiaTheme="minorEastAsia"/>
        </w:rPr>
        <w:t xml:space="preserve">Where, </w:t>
      </w:r>
    </w:p>
    <w:p w14:paraId="79D870D0" w14:textId="34917BB6" w:rsidR="00961382" w:rsidRDefault="0076009A" w:rsidP="0087568C">
      <w:pPr>
        <w:spacing w:before="0" w:after="0"/>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87568C" w:rsidRPr="0087568C">
        <w:t>: Weight of the ith water quality parameter (e.g., pH, dissolved oxygen, biochemical oxygen demand)</w:t>
      </w:r>
    </w:p>
    <w:p w14:paraId="028A937B" w14:textId="5C2FF24A" w:rsidR="0087568C" w:rsidRDefault="0076009A" w:rsidP="0087568C">
      <w:pPr>
        <w:spacing w:before="0" w:after="0"/>
      </w:pP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87568C">
        <w:t>: Subindex for the ith parameter (calculated based on the parameter's deviation from a standard)</w:t>
      </w:r>
    </w:p>
    <w:p w14:paraId="3C8EE0BA" w14:textId="194884AB" w:rsidR="0087568C" w:rsidRPr="000530E7" w:rsidRDefault="0087568C" w:rsidP="0087568C">
      <w:pPr>
        <w:spacing w:before="0" w:after="0"/>
      </w:pPr>
      <w:r>
        <w:t>The sum is taken over all relevant water quality parameters.</w:t>
      </w:r>
    </w:p>
    <w:p w14:paraId="6AEF8150" w14:textId="77777777" w:rsidR="00F068AE" w:rsidRDefault="00F068AE" w:rsidP="007F46FE">
      <w:pPr>
        <w:pStyle w:val="Heading4"/>
        <w:rPr>
          <w:color w:val="000000" w:themeColor="text1"/>
        </w:rPr>
      </w:pPr>
      <w:r w:rsidRPr="00C22C47">
        <w:rPr>
          <w:color w:val="000000" w:themeColor="text1"/>
        </w:rPr>
        <w:t>Land Pollution</w:t>
      </w:r>
    </w:p>
    <w:p w14:paraId="2AEC11E3" w14:textId="4405A0F7" w:rsidR="0026028B" w:rsidRDefault="0026028B" w:rsidP="0026028B">
      <w:r>
        <w:t>Land pollution can be tabulated using the contamination index (CI)</w:t>
      </w:r>
    </w:p>
    <w:p w14:paraId="3D76F13B" w14:textId="0131CC40" w:rsidR="0026028B" w:rsidRPr="0026028B" w:rsidRDefault="0026028B" w:rsidP="0026028B">
      <w:pPr>
        <w:rPr>
          <w:rFonts w:eastAsiaTheme="minorEastAsia"/>
        </w:rPr>
      </w:pPr>
      <m:oMathPara>
        <m:oMath>
          <m:r>
            <w:rPr>
              <w:rFonts w:ascii="Cambria Math" w:hAnsi="Cambria Math"/>
            </w:rPr>
            <m:t xml:space="preserve">CI =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 xml:space="preserve">  </m:t>
              </m:r>
            </m:num>
            <m:den>
              <m:r>
                <w:rPr>
                  <w:rFonts w:ascii="Cambria Math" w:hAnsi="Cambria Math"/>
                </w:rPr>
                <m:t>Total Land Area</m:t>
              </m:r>
            </m:den>
          </m:f>
          <m:r>
            <w:rPr>
              <w:rFonts w:ascii="Cambria Math" w:hAnsi="Cambria Math"/>
            </w:rPr>
            <m:t xml:space="preserve"> </m:t>
          </m:r>
        </m:oMath>
      </m:oMathPara>
    </w:p>
    <w:p w14:paraId="6516D93F" w14:textId="782813EE" w:rsidR="008E7821" w:rsidRDefault="008E7821" w:rsidP="008E7821">
      <w:pPr>
        <w:spacing w:before="0" w:after="0"/>
        <w:rPr>
          <w:rFonts w:eastAsiaTheme="minorEastAsia"/>
        </w:rPr>
      </w:pPr>
      <w:r>
        <w:rPr>
          <w:rFonts w:eastAsiaTheme="minorEastAsia"/>
        </w:rPr>
        <w:t xml:space="preserve">Where, </w:t>
      </w:r>
    </w:p>
    <w:p w14:paraId="0D4CF1EC" w14:textId="1FBB0761" w:rsidR="008E7821" w:rsidRPr="008E7821" w:rsidRDefault="0076009A" w:rsidP="008E7821">
      <w:pPr>
        <w:spacing w:before="0"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7821" w:rsidRPr="008E7821">
        <w:rPr>
          <w:rFonts w:eastAsiaTheme="minorEastAsia"/>
        </w:rPr>
        <w:t>: Concentration of contaminant i in the soil or land</w:t>
      </w:r>
    </w:p>
    <w:p w14:paraId="5BE9A2DB" w14:textId="36254DC7" w:rsidR="008E7821" w:rsidRPr="008E7821" w:rsidRDefault="0076009A" w:rsidP="008E7821">
      <w:pPr>
        <w:spacing w:before="0"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8E7821" w:rsidRPr="008E7821">
        <w:rPr>
          <w:rFonts w:eastAsiaTheme="minorEastAsia"/>
        </w:rPr>
        <w:t>: Area affected by contaminant i</w:t>
      </w:r>
    </w:p>
    <w:p w14:paraId="170D481E" w14:textId="59898F2D" w:rsidR="0026028B" w:rsidRPr="008E7821" w:rsidRDefault="008E7821" w:rsidP="008E7821">
      <w:pPr>
        <w:spacing w:before="0" w:after="0"/>
        <w:rPr>
          <w:rFonts w:eastAsiaTheme="minorEastAsia"/>
        </w:rPr>
      </w:pPr>
      <w:r w:rsidRPr="008E7821">
        <w:rPr>
          <w:rFonts w:eastAsiaTheme="minorEastAsia"/>
        </w:rPr>
        <w:t>The sum is taken over all relevant contaminants.</w:t>
      </w:r>
      <w:r>
        <w:rPr>
          <w:rFonts w:eastAsiaTheme="minorEastAsia"/>
        </w:rPr>
        <w:t xml:space="preserve"> </w:t>
      </w:r>
      <w:r w:rsidRPr="008E7821">
        <w:rPr>
          <w:rFonts w:eastAsiaTheme="minorEastAsia"/>
        </w:rPr>
        <w:t>The Contamination Index assesses the extent and severity of land pollution.</w:t>
      </w:r>
    </w:p>
    <w:p w14:paraId="0140B794" w14:textId="77777777" w:rsidR="00F068AE" w:rsidRDefault="00F068AE" w:rsidP="007F46FE">
      <w:pPr>
        <w:pStyle w:val="Heading4"/>
        <w:rPr>
          <w:color w:val="000000" w:themeColor="text1"/>
        </w:rPr>
      </w:pPr>
      <w:r w:rsidRPr="00C22C47">
        <w:rPr>
          <w:color w:val="000000" w:themeColor="text1"/>
        </w:rPr>
        <w:t>Noise Pollution</w:t>
      </w:r>
    </w:p>
    <w:p w14:paraId="38CB2D45" w14:textId="2E52F29A" w:rsidR="000B7A77" w:rsidRDefault="000B7A77" w:rsidP="000B7A77">
      <w:r>
        <w:t>Common Index: Noise Pollution Level (</w:t>
      </w:r>
      <m:oMath>
        <m:sSub>
          <m:sSubPr>
            <m:ctrlPr>
              <w:rPr>
                <w:rFonts w:ascii="Cambria Math" w:hAnsi="Cambria Math"/>
                <w:i/>
              </w:rPr>
            </m:ctrlPr>
          </m:sSubPr>
          <m:e>
            <m:r>
              <w:rPr>
                <w:rFonts w:ascii="Cambria Math" w:hAnsi="Cambria Math"/>
              </w:rPr>
              <m:t>L</m:t>
            </m:r>
          </m:e>
          <m:sub>
            <m:r>
              <w:rPr>
                <w:rFonts w:ascii="Cambria Math" w:hAnsi="Cambria Math"/>
              </w:rPr>
              <m:t>eq</m:t>
            </m:r>
          </m:sub>
        </m:sSub>
      </m:oMath>
      <w:r>
        <w:t>)</w:t>
      </w:r>
      <w:r w:rsidR="00F24D6A">
        <w:rPr>
          <w:rStyle w:val="FootnoteReference"/>
        </w:rPr>
        <w:footnoteReference w:id="3"/>
      </w:r>
    </w:p>
    <w:p w14:paraId="0AC105E5" w14:textId="1C30DC47" w:rsidR="000B7A77" w:rsidRDefault="000B7A77" w:rsidP="000B7A77">
      <w:r>
        <w:t xml:space="preserve">Formula (for </w:t>
      </w:r>
      <m:oMath>
        <m:sSub>
          <m:sSubPr>
            <m:ctrlPr>
              <w:rPr>
                <w:rFonts w:ascii="Cambria Math" w:hAnsi="Cambria Math"/>
                <w:i/>
              </w:rPr>
            </m:ctrlPr>
          </m:sSubPr>
          <m:e>
            <m:r>
              <w:rPr>
                <w:rFonts w:ascii="Cambria Math" w:hAnsi="Cambria Math"/>
              </w:rPr>
              <m:t>L</m:t>
            </m:r>
          </m:e>
          <m:sub>
            <m:r>
              <w:rPr>
                <w:rFonts w:ascii="Cambria Math" w:hAnsi="Cambria Math"/>
              </w:rPr>
              <m:t>eq</m:t>
            </m:r>
          </m:sub>
        </m:sSub>
      </m:oMath>
      <w:r>
        <w:t>):</w:t>
      </w:r>
    </w:p>
    <w:p w14:paraId="2A0BC855" w14:textId="75B9F241" w:rsidR="000B7A77" w:rsidRPr="006622C4" w:rsidRDefault="0076009A" w:rsidP="000B7A77">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eq</m:t>
              </m:r>
            </m:sub>
          </m:sSub>
          <m:r>
            <w:rPr>
              <w:rFonts w:ascii="Cambria Math" w:hAnsi="Cambria Math"/>
            </w:rPr>
            <m:t xml:space="preserve"> = 10 × lo</m:t>
          </m:r>
          <m:sSup>
            <m:sSupPr>
              <m:ctrlPr>
                <w:rPr>
                  <w:rFonts w:ascii="Cambria Math" w:hAnsi="Cambria Math"/>
                  <w:i/>
                </w:rPr>
              </m:ctrlPr>
            </m:sSupPr>
            <m:e>
              <m:r>
                <w:rPr>
                  <w:rFonts w:ascii="Cambria Math" w:hAnsi="Cambria Math"/>
                </w:rPr>
                <m:t>g</m:t>
              </m:r>
            </m:e>
            <m:sup>
              <m:r>
                <w:rPr>
                  <w:rFonts w:ascii="Cambria Math" w:hAnsi="Cambria Math"/>
                </w:rPr>
                <m:t>10</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 </m:t>
              </m:r>
              <m:nary>
                <m:naryP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L</m:t>
                              </m:r>
                            </m:num>
                            <m:den>
                              <m:r>
                                <w:rPr>
                                  <w:rFonts w:ascii="Cambria Math" w:hAnsi="Cambria Math"/>
                                </w:rPr>
                                <m:t>10</m:t>
                              </m:r>
                            </m:den>
                          </m:f>
                        </m:sup>
                      </m:sSup>
                    </m:e>
                  </m:d>
                </m:e>
              </m:nary>
              <m:r>
                <w:rPr>
                  <w:rFonts w:ascii="Cambria Math" w:hAnsi="Cambria Math"/>
                </w:rPr>
                <m:t xml:space="preserve"> dt</m:t>
              </m:r>
            </m:e>
          </m:d>
        </m:oMath>
      </m:oMathPara>
    </w:p>
    <w:p w14:paraId="3C373BD9" w14:textId="51B042A8" w:rsidR="000B7A77" w:rsidRDefault="000B7A77" w:rsidP="006622C4">
      <w:pPr>
        <w:spacing w:before="0" w:after="0"/>
      </w:pPr>
      <w:r>
        <w:t>Where:</w:t>
      </w:r>
    </w:p>
    <w:p w14:paraId="2DFFCCA0" w14:textId="77777777" w:rsidR="000B7A77" w:rsidRDefault="000B7A77" w:rsidP="006622C4">
      <w:pPr>
        <w:spacing w:before="0" w:after="0"/>
      </w:pPr>
      <w:r>
        <w:t>T: Integration time (usually in hours)</w:t>
      </w:r>
    </w:p>
    <w:p w14:paraId="4959D2F7" w14:textId="77777777" w:rsidR="000B7A77" w:rsidRDefault="000B7A77" w:rsidP="006622C4">
      <w:pPr>
        <w:spacing w:before="0" w:after="0"/>
      </w:pPr>
      <w:r>
        <w:t>L: Noise level at each time step</w:t>
      </w:r>
    </w:p>
    <w:p w14:paraId="15FF3A74" w14:textId="77777777" w:rsidR="000B7A77" w:rsidRDefault="000B7A77" w:rsidP="006622C4">
      <w:pPr>
        <w:spacing w:before="0" w:after="0"/>
      </w:pPr>
      <w:r>
        <w:t>The integral is taken over the entire measurement period.</w:t>
      </w:r>
    </w:p>
    <w:p w14:paraId="6747F73E" w14:textId="37500BCB" w:rsidR="008E7821" w:rsidRDefault="0076009A" w:rsidP="006622C4">
      <w:pPr>
        <w:spacing w:before="0" w:after="0"/>
      </w:pPr>
      <m:oMath>
        <m:sSub>
          <m:sSubPr>
            <m:ctrlPr>
              <w:rPr>
                <w:rFonts w:ascii="Cambria Math" w:hAnsi="Cambria Math"/>
                <w:i/>
              </w:rPr>
            </m:ctrlPr>
          </m:sSubPr>
          <m:e>
            <m:r>
              <w:rPr>
                <w:rFonts w:ascii="Cambria Math" w:hAnsi="Cambria Math"/>
              </w:rPr>
              <m:t>L</m:t>
            </m:r>
          </m:e>
          <m:sub>
            <m:r>
              <w:rPr>
                <w:rFonts w:ascii="Cambria Math" w:hAnsi="Cambria Math"/>
              </w:rPr>
              <m:t>eq</m:t>
            </m:r>
          </m:sub>
        </m:sSub>
      </m:oMath>
      <w:r w:rsidR="000B7A77">
        <w:t xml:space="preserve"> represents the equivalent continuous noise level over a specified time period.</w:t>
      </w:r>
    </w:p>
    <w:p w14:paraId="2ACF5041" w14:textId="77777777" w:rsidR="00F068AE" w:rsidRDefault="00F068AE" w:rsidP="007F46FE">
      <w:pPr>
        <w:pStyle w:val="Heading4"/>
        <w:rPr>
          <w:color w:val="000000" w:themeColor="text1"/>
        </w:rPr>
      </w:pPr>
      <w:r w:rsidRPr="00C22C47">
        <w:rPr>
          <w:color w:val="000000" w:themeColor="text1"/>
        </w:rPr>
        <w:t>Air Pollution</w:t>
      </w:r>
    </w:p>
    <w:p w14:paraId="70563496" w14:textId="0C0B60DF" w:rsidR="00F24D6A" w:rsidRDefault="00CE1DAF" w:rsidP="00F24D6A">
      <w:r w:rsidRPr="00CE1DAF">
        <w:t>Common Index: Air Quality Index (AQI)</w:t>
      </w:r>
    </w:p>
    <w:p w14:paraId="5C3A31D2" w14:textId="2BBC67AD" w:rsidR="00CE1DAF" w:rsidRDefault="00CE1DAF" w:rsidP="00CE1DAF">
      <m:oMathPara>
        <m:oMath>
          <m:r>
            <w:rPr>
              <w:rFonts w:ascii="Cambria Math" w:hAnsi="Cambria Math"/>
            </w:rPr>
            <m:t>AQI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hi</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lo</m:t>
                      </m:r>
                    </m:sub>
                  </m:sSub>
                </m:e>
              </m:d>
            </m:num>
            <m:den>
              <m:sSub>
                <m:sSubPr>
                  <m:ctrlPr>
                    <w:rPr>
                      <w:rFonts w:ascii="Cambria Math" w:hAnsi="Cambria Math"/>
                      <w:i/>
                    </w:rPr>
                  </m:ctrlPr>
                </m:sSubPr>
                <m:e>
                  <m:r>
                    <w:rPr>
                      <w:rFonts w:ascii="Cambria Math" w:hAnsi="Cambria Math"/>
                    </w:rPr>
                    <m:t>B</m:t>
                  </m:r>
                </m:e>
                <m:sub>
                  <m:r>
                    <w:rPr>
                      <w:rFonts w:ascii="Cambria Math" w:hAnsi="Cambria Math"/>
                    </w:rPr>
                    <m:t>hi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lo</m:t>
                  </m:r>
                </m:sub>
              </m:sSub>
            </m:den>
          </m:f>
          <m:r>
            <w:rPr>
              <w:rFonts w:ascii="Cambria Math" w:hAnsi="Cambria Math"/>
            </w:rPr>
            <m:t xml:space="preserve">* (C - </m:t>
          </m:r>
          <m:sSub>
            <m:sSubPr>
              <m:ctrlPr>
                <w:rPr>
                  <w:rFonts w:ascii="Cambria Math" w:hAnsi="Cambria Math"/>
                  <w:i/>
                </w:rPr>
              </m:ctrlPr>
            </m:sSubPr>
            <m:e>
              <m:r>
                <w:rPr>
                  <w:rFonts w:ascii="Cambria Math" w:hAnsi="Cambria Math"/>
                </w:rPr>
                <m:t>B</m:t>
              </m:r>
            </m:e>
            <m:sub>
              <m:r>
                <w:rPr>
                  <w:rFonts w:ascii="Cambria Math" w:hAnsi="Cambria Math"/>
                </w:rPr>
                <m:t>lo</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lo</m:t>
              </m:r>
            </m:sub>
          </m:sSub>
        </m:oMath>
      </m:oMathPara>
    </w:p>
    <w:p w14:paraId="7FBEA96E" w14:textId="1AF71253" w:rsidR="00CE1DAF" w:rsidRDefault="00CE1DAF" w:rsidP="00CE1DAF">
      <w:r>
        <w:t>Where:</w:t>
      </w:r>
    </w:p>
    <w:p w14:paraId="5076D613" w14:textId="6005EEE5" w:rsidR="00CE1DAF" w:rsidRDefault="0076009A" w:rsidP="00CE1DAF">
      <m:oMath>
        <m:sSub>
          <m:sSubPr>
            <m:ctrlPr>
              <w:rPr>
                <w:rFonts w:ascii="Cambria Math" w:hAnsi="Cambria Math"/>
                <w:i/>
              </w:rPr>
            </m:ctrlPr>
          </m:sSubPr>
          <m:e>
            <m:r>
              <w:rPr>
                <w:rFonts w:ascii="Cambria Math" w:hAnsi="Cambria Math"/>
              </w:rPr>
              <m:t>I</m:t>
            </m:r>
          </m:e>
          <m:sub>
            <m:r>
              <w:rPr>
                <w:rFonts w:ascii="Cambria Math" w:hAnsi="Cambria Math"/>
              </w:rPr>
              <m:t>hi</m:t>
            </m:r>
          </m:sub>
        </m:sSub>
      </m:oMath>
      <w:r w:rsidR="001E34EC">
        <w:rPr>
          <w:rFonts w:eastAsiaTheme="minorEastAsia"/>
        </w:rPr>
        <w:t xml:space="preserve"> </w:t>
      </w:r>
      <w:r w:rsidR="00CE1DAF">
        <w:t xml:space="preserve"> and </w:t>
      </w:r>
      <m:oMath>
        <m:sSub>
          <m:sSubPr>
            <m:ctrlPr>
              <w:rPr>
                <w:rFonts w:ascii="Cambria Math" w:hAnsi="Cambria Math"/>
                <w:i/>
              </w:rPr>
            </m:ctrlPr>
          </m:sSubPr>
          <m:e>
            <m:r>
              <w:rPr>
                <w:rFonts w:ascii="Cambria Math" w:hAnsi="Cambria Math"/>
              </w:rPr>
              <m:t>I</m:t>
            </m:r>
          </m:e>
          <m:sub>
            <m:r>
              <w:rPr>
                <w:rFonts w:ascii="Cambria Math" w:hAnsi="Cambria Math"/>
              </w:rPr>
              <m:t>lo</m:t>
            </m:r>
          </m:sub>
        </m:sSub>
      </m:oMath>
      <w:r w:rsidR="00CE1DAF">
        <w:t>: AQI values corresponding to the "good" and "poor" air quality levels</w:t>
      </w:r>
    </w:p>
    <w:p w14:paraId="79FF6D24" w14:textId="63C97386" w:rsidR="00CE1DAF" w:rsidRDefault="0076009A" w:rsidP="00CE1DAF">
      <m:oMath>
        <m:sSub>
          <m:sSubPr>
            <m:ctrlPr>
              <w:rPr>
                <w:rFonts w:ascii="Cambria Math" w:hAnsi="Cambria Math"/>
                <w:i/>
              </w:rPr>
            </m:ctrlPr>
          </m:sSubPr>
          <m:e>
            <m:r>
              <w:rPr>
                <w:rFonts w:ascii="Cambria Math" w:hAnsi="Cambria Math"/>
              </w:rPr>
              <m:t>B</m:t>
            </m:r>
          </m:e>
          <m:sub>
            <m:r>
              <w:rPr>
                <w:rFonts w:ascii="Cambria Math" w:hAnsi="Cambria Math"/>
              </w:rPr>
              <m:t>hi</m:t>
            </m:r>
          </m:sub>
        </m:sSub>
      </m:oMath>
      <w:r w:rsidR="00CE1DAF">
        <w:t xml:space="preserve"> and </w:t>
      </w:r>
      <m:oMath>
        <m:sSub>
          <m:sSubPr>
            <m:ctrlPr>
              <w:rPr>
                <w:rFonts w:ascii="Cambria Math" w:hAnsi="Cambria Math"/>
                <w:i/>
              </w:rPr>
            </m:ctrlPr>
          </m:sSubPr>
          <m:e>
            <m:r>
              <w:rPr>
                <w:rFonts w:ascii="Cambria Math" w:hAnsi="Cambria Math"/>
              </w:rPr>
              <m:t>B</m:t>
            </m:r>
          </m:e>
          <m:sub>
            <m:r>
              <w:rPr>
                <w:rFonts w:ascii="Cambria Math" w:hAnsi="Cambria Math"/>
              </w:rPr>
              <m:t>lo</m:t>
            </m:r>
          </m:sub>
        </m:sSub>
      </m:oMath>
      <w:r w:rsidR="00CE1DAF">
        <w:t>: Concentration breakpoints for different air pollutants</w:t>
      </w:r>
    </w:p>
    <w:p w14:paraId="570B00E7" w14:textId="77777777" w:rsidR="00CE1DAF" w:rsidRDefault="00CE1DAF" w:rsidP="00CE1DAF">
      <w:r>
        <w:t>C: Measured concentration of the pollutant</w:t>
      </w:r>
    </w:p>
    <w:p w14:paraId="4E74BF65" w14:textId="5C2E7D73" w:rsidR="00CE1DAF" w:rsidRPr="00F24D6A" w:rsidRDefault="00CE1DAF" w:rsidP="00CE1DAF">
      <w:r>
        <w:t>The AQI provides a standardized way to assess air quality based on multiple pollutants.</w:t>
      </w:r>
    </w:p>
    <w:p w14:paraId="7361FDB2" w14:textId="1C56E2E7" w:rsidR="007057BD" w:rsidRDefault="00F068AE" w:rsidP="007057BD">
      <w:pPr>
        <w:pStyle w:val="Heading4"/>
        <w:rPr>
          <w:color w:val="000000" w:themeColor="text1"/>
        </w:rPr>
      </w:pPr>
      <w:r w:rsidRPr="00C22C47">
        <w:rPr>
          <w:color w:val="000000" w:themeColor="text1"/>
        </w:rPr>
        <w:t>Consumption of natural resources to exploit energy</w:t>
      </w:r>
    </w:p>
    <w:p w14:paraId="4FC4B24A" w14:textId="711293A6" w:rsidR="006571ED" w:rsidRDefault="001918F2" w:rsidP="006571ED">
      <w:r>
        <w:t>It can be calculated as under:</w:t>
      </w:r>
    </w:p>
    <w:p w14:paraId="3EA46190" w14:textId="16EC4ABC" w:rsidR="001918F2" w:rsidRPr="001918F2" w:rsidRDefault="001918F2" w:rsidP="006571ED">
      <w:pPr>
        <w:rPr>
          <w:rFonts w:eastAsiaTheme="minorEastAsia"/>
        </w:rPr>
      </w:pPr>
      <m:oMathPara>
        <m:oMath>
          <m:r>
            <w:rPr>
              <w:rFonts w:ascii="Cambria Math" w:hAnsi="Cambria Math"/>
            </w:rPr>
            <m:t>Resource Intensity =</m:t>
          </m:r>
          <m:f>
            <m:fPr>
              <m:ctrlPr>
                <w:rPr>
                  <w:rFonts w:ascii="Cambria Math" w:hAnsi="Cambria Math"/>
                  <w:i/>
                </w:rPr>
              </m:ctrlPr>
            </m:fPr>
            <m:num>
              <m:r>
                <w:rPr>
                  <w:rFonts w:ascii="Cambria Math" w:hAnsi="Cambria Math"/>
                </w:rPr>
                <m:t>Total Resource Consumption</m:t>
              </m:r>
            </m:num>
            <m:den>
              <m:r>
                <w:rPr>
                  <w:rFonts w:ascii="Cambria Math" w:hAnsi="Cambria Math"/>
                </w:rPr>
                <m:t>Energy Produced or Generated</m:t>
              </m:r>
            </m:den>
          </m:f>
        </m:oMath>
      </m:oMathPara>
    </w:p>
    <w:p w14:paraId="5FB7FB90" w14:textId="77777777" w:rsidR="00767BB3" w:rsidRDefault="00767BB3" w:rsidP="00767BB3">
      <w:pPr>
        <w:spacing w:before="0" w:after="0"/>
      </w:pPr>
      <w:r>
        <w:t>Total Resource Consumption: The amount of natural resources used for energy production.</w:t>
      </w:r>
    </w:p>
    <w:p w14:paraId="0B663131" w14:textId="77777777" w:rsidR="00767BB3" w:rsidRDefault="00767BB3" w:rsidP="00767BB3">
      <w:pPr>
        <w:spacing w:before="0" w:after="0"/>
      </w:pPr>
      <w:r>
        <w:t xml:space="preserve">Energy Produced or Generated: The total energy output from the process. </w:t>
      </w:r>
    </w:p>
    <w:p w14:paraId="3689E975" w14:textId="33DEF4E8" w:rsidR="001918F2" w:rsidRDefault="00767BB3" w:rsidP="00767BB3">
      <w:pPr>
        <w:spacing w:before="0" w:after="0"/>
      </w:pPr>
      <w:r>
        <w:t>This metric assesses the efficiency of energy production in relation to resource consumption.</w:t>
      </w:r>
    </w:p>
    <w:p w14:paraId="5E5BEE75" w14:textId="77777777" w:rsidR="00767BB3" w:rsidRPr="006571ED" w:rsidRDefault="00767BB3" w:rsidP="00767BB3">
      <w:pPr>
        <w:spacing w:before="0" w:after="0"/>
      </w:pPr>
    </w:p>
    <w:p w14:paraId="114E82B0" w14:textId="77777777" w:rsidR="007057BD" w:rsidRPr="00C22C47" w:rsidRDefault="007057BD" w:rsidP="007F46FE">
      <w:pPr>
        <w:pStyle w:val="Heading3"/>
      </w:pPr>
      <w:bookmarkStart w:id="58" w:name="_Waste_and_Emissions"/>
      <w:bookmarkStart w:id="59" w:name="_Toc146147261"/>
      <w:bookmarkEnd w:id="58"/>
      <w:r w:rsidRPr="00C22C47">
        <w:t>Waste and Emissions</w:t>
      </w:r>
      <w:bookmarkEnd w:id="59"/>
    </w:p>
    <w:p w14:paraId="0BB9F316" w14:textId="77777777" w:rsidR="00F02617" w:rsidRDefault="00F02617" w:rsidP="007F46FE">
      <w:pPr>
        <w:pStyle w:val="Heading4"/>
        <w:rPr>
          <w:color w:val="000000" w:themeColor="text1"/>
        </w:rPr>
      </w:pPr>
      <w:r w:rsidRPr="00C22C47">
        <w:rPr>
          <w:color w:val="000000" w:themeColor="text1"/>
        </w:rPr>
        <w:t>Amount of non-recyclable waste</w:t>
      </w:r>
    </w:p>
    <w:p w14:paraId="16B2A267" w14:textId="6CF9BCC7" w:rsidR="008A04EC" w:rsidRDefault="008A04EC" w:rsidP="008A04EC">
      <w:r>
        <w:t>Amount of non-recyclable waste can be calculated as under:</w:t>
      </w:r>
    </w:p>
    <w:p w14:paraId="3885D063" w14:textId="31553904" w:rsidR="008A04EC" w:rsidRDefault="008A04EC" w:rsidP="008A04EC">
      <m:oMathPara>
        <m:oMath>
          <m:r>
            <w:rPr>
              <w:rFonts w:ascii="Cambria Math" w:hAnsi="Cambria Math"/>
            </w:rPr>
            <m:t>Amount of Non-Recyclable Waste = Total Waste Gener. - Amount of Recyclable Waste</m:t>
          </m:r>
        </m:oMath>
      </m:oMathPara>
    </w:p>
    <w:p w14:paraId="311704BC" w14:textId="009843EE" w:rsidR="008A04EC" w:rsidRPr="008A04EC" w:rsidRDefault="008A04EC" w:rsidP="008A04EC">
      <w:r>
        <w:t>This formula calculates the quantity of waste that is not recyclable, often referred to as residual waste.</w:t>
      </w:r>
    </w:p>
    <w:p w14:paraId="77AF5095" w14:textId="77777777" w:rsidR="00F02617" w:rsidRDefault="00F02617" w:rsidP="007F46FE">
      <w:pPr>
        <w:pStyle w:val="Heading4"/>
        <w:rPr>
          <w:color w:val="000000" w:themeColor="text1"/>
        </w:rPr>
      </w:pPr>
      <w:r w:rsidRPr="00C22C47">
        <w:rPr>
          <w:color w:val="000000" w:themeColor="text1"/>
        </w:rPr>
        <w:t>Waste Generated</w:t>
      </w:r>
    </w:p>
    <w:p w14:paraId="288FB36B" w14:textId="525C0E15" w:rsidR="00A44A61" w:rsidRDefault="00A44A61" w:rsidP="00A44A61">
      <w:r>
        <w:t>Total waste generated can be calculated as under:</w:t>
      </w:r>
    </w:p>
    <w:p w14:paraId="65033021" w14:textId="63EDFA42" w:rsidR="00A44A61" w:rsidRPr="00A44A61" w:rsidRDefault="00A44A61" w:rsidP="00A44A61">
      <w:pPr>
        <w:rPr>
          <w:rFonts w:eastAsiaTheme="minorEastAsia"/>
        </w:rPr>
      </w:pPr>
      <m:oMathPara>
        <m:oMath>
          <m:r>
            <w:rPr>
              <w:rFonts w:ascii="Cambria Math" w:hAnsi="Cambria Math"/>
            </w:rPr>
            <m:t>Waste Gen.  = Amount of Non-Recyclable Waste + Amount of Recyclable Waste + Amount of Hazardous Waste + Other Categories of Waste</m:t>
          </m:r>
        </m:oMath>
      </m:oMathPara>
    </w:p>
    <w:p w14:paraId="038B6CB3" w14:textId="74613579" w:rsidR="00A44A61" w:rsidRPr="00A44A61" w:rsidRDefault="00D47377" w:rsidP="00A44A61">
      <w:r w:rsidRPr="00D47377">
        <w:t>This formula calculates the total amount of waste generated, taking into account various categories of waste, including non-recyclable, recyclable, hazardous, and others.</w:t>
      </w:r>
    </w:p>
    <w:p w14:paraId="1BB349CF" w14:textId="77777777" w:rsidR="00F02617" w:rsidRDefault="00F02617" w:rsidP="007F46FE">
      <w:pPr>
        <w:pStyle w:val="Heading4"/>
        <w:rPr>
          <w:color w:val="000000" w:themeColor="text1"/>
        </w:rPr>
      </w:pPr>
      <w:r w:rsidRPr="00C22C47">
        <w:rPr>
          <w:color w:val="000000" w:themeColor="text1"/>
        </w:rPr>
        <w:t>Waste Diverted</w:t>
      </w:r>
    </w:p>
    <w:p w14:paraId="5FA42F58" w14:textId="335EACC3" w:rsidR="00D47377" w:rsidRDefault="00D47377" w:rsidP="00D47377">
      <m:oMath>
        <m:r>
          <w:rPr>
            <w:rFonts w:ascii="Cambria Math" w:hAnsi="Cambria Math"/>
          </w:rPr>
          <m:t>Waste Diverted = Amount of (Recyclable Waste + Hazardous Waste + Other Categories of Diverted Waste</m:t>
        </m:r>
      </m:oMath>
      <w:r>
        <w:rPr>
          <w:rFonts w:eastAsiaTheme="minorEastAsia"/>
        </w:rPr>
        <w:t xml:space="preserve"> </w:t>
      </w:r>
    </w:p>
    <w:p w14:paraId="41DC84EC" w14:textId="38B9220E" w:rsidR="00D47377" w:rsidRPr="00D47377" w:rsidRDefault="00D47377" w:rsidP="00D47377">
      <w:r>
        <w:t>This formula calculates the quantity of waste that is diverted from disposal in landfills or incineration through recycling, hazardous waste management, or other diversion methods.</w:t>
      </w:r>
    </w:p>
    <w:p w14:paraId="48235068" w14:textId="77777777" w:rsidR="00F02617" w:rsidRDefault="00F02617" w:rsidP="007F46FE">
      <w:pPr>
        <w:pStyle w:val="Heading4"/>
        <w:rPr>
          <w:color w:val="000000" w:themeColor="text1"/>
        </w:rPr>
      </w:pPr>
      <w:r w:rsidRPr="00C22C47">
        <w:rPr>
          <w:color w:val="000000" w:themeColor="text1"/>
        </w:rPr>
        <w:t>Waste Disposal</w:t>
      </w:r>
    </w:p>
    <w:p w14:paraId="4092CAD9" w14:textId="58ABEA6E" w:rsidR="008D2EAC" w:rsidRDefault="008D2EAC" w:rsidP="008D2EAC">
      <m:oMath>
        <m:r>
          <w:rPr>
            <w:rFonts w:ascii="Cambria Math" w:hAnsi="Cambria Math"/>
          </w:rPr>
          <m:t xml:space="preserve">Waste Disposal = Amount of </m:t>
        </m:r>
        <m:d>
          <m:dPr>
            <m:ctrlPr>
              <w:rPr>
                <w:rFonts w:ascii="Cambria Math" w:hAnsi="Cambria Math"/>
                <w:i/>
              </w:rPr>
            </m:ctrlPr>
          </m:dPr>
          <m:e>
            <m:r>
              <w:rPr>
                <w:rFonts w:ascii="Cambria Math" w:hAnsi="Cambria Math"/>
              </w:rPr>
              <m:t>Non-Recyclable Waste + Residual Hazardous Waste + Other Categories of Waste Disposed</m:t>
            </m:r>
          </m:e>
        </m:d>
      </m:oMath>
      <w:r>
        <w:rPr>
          <w:rFonts w:eastAsiaTheme="minorEastAsia"/>
        </w:rPr>
        <w:t xml:space="preserve"> </w:t>
      </w:r>
    </w:p>
    <w:p w14:paraId="45CB8220" w14:textId="5A7CAEC3" w:rsidR="00D47377" w:rsidRPr="00D47377" w:rsidRDefault="008D2EAC" w:rsidP="008D2EAC">
      <w:r>
        <w:t>This formula calculates the quantity of waste that is disposed of through methods such as landfilling, incineration, or other forms of waste disposal.</w:t>
      </w:r>
    </w:p>
    <w:p w14:paraId="0BF85882" w14:textId="0DD08731" w:rsidR="007057BD" w:rsidRDefault="00F02617" w:rsidP="007F46FE">
      <w:pPr>
        <w:pStyle w:val="Heading4"/>
        <w:rPr>
          <w:color w:val="000000" w:themeColor="text1"/>
        </w:rPr>
      </w:pPr>
      <w:r w:rsidRPr="00C22C47">
        <w:rPr>
          <w:color w:val="000000" w:themeColor="text1"/>
        </w:rPr>
        <w:t>Significant Spills</w:t>
      </w:r>
    </w:p>
    <w:p w14:paraId="6F5C4E95" w14:textId="432E65AF" w:rsidR="008D2EAC" w:rsidRPr="008D2EAC" w:rsidRDefault="003136E6" w:rsidP="008D2EAC">
      <w:r w:rsidRPr="003136E6">
        <w:t>There is no specific mathematical formula for calculating significant spills. The detection and assessment of significant spills typically involve monitoring and reporting incidents that exceed predetermined thresholds for environmental impact, health, or safety.</w:t>
      </w:r>
    </w:p>
    <w:p w14:paraId="746DAAD8" w14:textId="77777777" w:rsidR="007057BD" w:rsidRPr="00C22C47" w:rsidRDefault="007057BD" w:rsidP="007F46FE">
      <w:pPr>
        <w:pStyle w:val="Heading3"/>
      </w:pPr>
      <w:bookmarkStart w:id="60" w:name="_Greenhouse_Gas_(GHG)"/>
      <w:bookmarkStart w:id="61" w:name="_Toc146147262"/>
      <w:bookmarkEnd w:id="60"/>
      <w:r w:rsidRPr="00C22C47">
        <w:t>Greenhouse Gas (GHG) and Climate</w:t>
      </w:r>
      <w:bookmarkEnd w:id="61"/>
    </w:p>
    <w:p w14:paraId="5C09944F" w14:textId="77777777" w:rsidR="007F46FE" w:rsidRDefault="007F46FE" w:rsidP="007F46FE">
      <w:pPr>
        <w:pStyle w:val="Heading4"/>
        <w:rPr>
          <w:color w:val="000000" w:themeColor="text1"/>
        </w:rPr>
      </w:pPr>
      <w:r w:rsidRPr="00C22C47">
        <w:rPr>
          <w:color w:val="000000" w:themeColor="text1"/>
        </w:rPr>
        <w:t>GHG emissions</w:t>
      </w:r>
    </w:p>
    <w:p w14:paraId="1E0F4965" w14:textId="77777777" w:rsidR="004F4FDD" w:rsidRDefault="004F4FDD" w:rsidP="004F4FDD">
      <w:r>
        <w:t>The calculation of GHG emissions involves summing the emissions of various GHGs, often expressed in units of CO2 equivalent (CO2e), to account for their different global warming potentials. The formula for total GHG emissions can be represented as:</w:t>
      </w:r>
    </w:p>
    <w:p w14:paraId="385B5575" w14:textId="0DDD1D12" w:rsidR="004F4FDD" w:rsidRDefault="004F4FDD" w:rsidP="004F4FDD">
      <w:pPr>
        <w:rPr>
          <w:rFonts w:eastAsiaTheme="minorEastAsia"/>
        </w:rPr>
      </w:pPr>
      <m:oMath>
        <m:r>
          <w:rPr>
            <w:rFonts w:ascii="Cambria Math" w:hAnsi="Cambria Math"/>
          </w:rPr>
          <m:t xml:space="preserve">Total GHG Emissions </m:t>
        </m:r>
        <m:d>
          <m:dPr>
            <m:ctrlPr>
              <w:rPr>
                <w:rFonts w:ascii="Cambria Math" w:hAnsi="Cambria Math"/>
                <w:i/>
              </w:rPr>
            </m:ctrlPr>
          </m:dPr>
          <m:e>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e>
              <m:sub>
                <m:r>
                  <w:rPr>
                    <w:rFonts w:ascii="Cambria Math" w:hAnsi="Cambria Math"/>
                  </w:rPr>
                  <m:t>e</m:t>
                </m:r>
              </m:sub>
            </m:sSub>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Emissions of Each GHG×Global Warming Potential of Each GHG</m:t>
                </m:r>
              </m:e>
            </m:d>
            <m:r>
              <w:rPr>
                <w:rFonts w:ascii="Cambria Math" w:hAnsi="Cambria Math"/>
              </w:rPr>
              <m:t xml:space="preserve"> </m:t>
            </m:r>
          </m:e>
        </m:nary>
      </m:oMath>
      <w:r>
        <w:rPr>
          <w:rFonts w:eastAsiaTheme="minorEastAsia"/>
        </w:rPr>
        <w:t xml:space="preserve"> </w:t>
      </w:r>
    </w:p>
    <w:p w14:paraId="157E5950" w14:textId="77777777" w:rsidR="00357C4B" w:rsidRPr="00357C4B" w:rsidRDefault="00357C4B" w:rsidP="00357C4B">
      <w:pPr>
        <w:spacing w:before="0" w:after="0"/>
        <w:rPr>
          <w:rFonts w:eastAsiaTheme="minorEastAsia"/>
        </w:rPr>
      </w:pPr>
      <w:r w:rsidRPr="00357C4B">
        <w:rPr>
          <w:rFonts w:eastAsiaTheme="minorEastAsia"/>
        </w:rPr>
        <w:t>Emissions of Each GHG: The quantity of each GHG released (e.g., tons of CO</w:t>
      </w:r>
      <w:r w:rsidRPr="00553E3C">
        <w:rPr>
          <w:rFonts w:eastAsiaTheme="minorEastAsia"/>
          <w:vertAlign w:val="subscript"/>
        </w:rPr>
        <w:t>2</w:t>
      </w:r>
      <w:r w:rsidRPr="00357C4B">
        <w:rPr>
          <w:rFonts w:eastAsiaTheme="minorEastAsia"/>
        </w:rPr>
        <w:t>, CH</w:t>
      </w:r>
      <w:r w:rsidRPr="00553E3C">
        <w:rPr>
          <w:rFonts w:eastAsiaTheme="minorEastAsia"/>
          <w:vertAlign w:val="subscript"/>
        </w:rPr>
        <w:t>4</w:t>
      </w:r>
      <w:r w:rsidRPr="00357C4B">
        <w:rPr>
          <w:rFonts w:eastAsiaTheme="minorEastAsia"/>
        </w:rPr>
        <w:t>, N</w:t>
      </w:r>
      <w:r w:rsidRPr="00553E3C">
        <w:rPr>
          <w:rFonts w:eastAsiaTheme="minorEastAsia"/>
          <w:vertAlign w:val="subscript"/>
        </w:rPr>
        <w:t>2</w:t>
      </w:r>
      <w:r w:rsidRPr="00357C4B">
        <w:rPr>
          <w:rFonts w:eastAsiaTheme="minorEastAsia"/>
        </w:rPr>
        <w:t>O).</w:t>
      </w:r>
    </w:p>
    <w:p w14:paraId="2B35137A" w14:textId="77777777" w:rsidR="00357C4B" w:rsidRPr="00357C4B" w:rsidRDefault="00357C4B" w:rsidP="00357C4B">
      <w:pPr>
        <w:spacing w:before="0" w:after="0"/>
        <w:rPr>
          <w:rFonts w:eastAsiaTheme="minorEastAsia"/>
        </w:rPr>
      </w:pPr>
      <w:r w:rsidRPr="00357C4B">
        <w:rPr>
          <w:rFonts w:eastAsiaTheme="minorEastAsia"/>
        </w:rPr>
        <w:t>Global Warming Potential (GWP) of Each GHG: A factor that represents the warming potential of each GHG relative to CO</w:t>
      </w:r>
      <w:r w:rsidRPr="00357C4B">
        <w:rPr>
          <w:rFonts w:eastAsiaTheme="minorEastAsia"/>
          <w:vertAlign w:val="subscript"/>
        </w:rPr>
        <w:t>2</w:t>
      </w:r>
      <w:r w:rsidRPr="00357C4B">
        <w:rPr>
          <w:rFonts w:eastAsiaTheme="minorEastAsia"/>
        </w:rPr>
        <w:t xml:space="preserve"> over a specific time horizon (e.g., 100 years).</w:t>
      </w:r>
    </w:p>
    <w:p w14:paraId="7E410D70" w14:textId="2BCC5E0E" w:rsidR="004F4FDD" w:rsidRDefault="00357C4B" w:rsidP="00357C4B">
      <w:pPr>
        <w:spacing w:before="0" w:after="0"/>
        <w:rPr>
          <w:rFonts w:eastAsiaTheme="minorEastAsia"/>
        </w:rPr>
      </w:pPr>
      <w:r w:rsidRPr="00357C4B">
        <w:rPr>
          <w:rFonts w:eastAsiaTheme="minorEastAsia"/>
        </w:rPr>
        <w:t xml:space="preserve">The result is expressed in </w:t>
      </w:r>
      <m:oMath>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e>
          <m:sub>
            <m:r>
              <w:rPr>
                <w:rFonts w:ascii="Cambria Math" w:hAnsi="Cambria Math"/>
              </w:rPr>
              <m:t>e</m:t>
            </m:r>
          </m:sub>
        </m:sSub>
      </m:oMath>
      <w:r w:rsidRPr="00357C4B">
        <w:rPr>
          <w:rFonts w:eastAsiaTheme="minorEastAsia"/>
        </w:rPr>
        <w:t>, allowing for a standardized assessment of GHG emissions.</w:t>
      </w:r>
    </w:p>
    <w:p w14:paraId="768B7C2E" w14:textId="67E7880D" w:rsidR="007F46FE" w:rsidRDefault="007F46FE" w:rsidP="004F4FDD">
      <w:pPr>
        <w:pStyle w:val="Heading4"/>
      </w:pPr>
      <w:r w:rsidRPr="00C22C47">
        <w:t>Indirect GHG Emissions (Energy)</w:t>
      </w:r>
    </w:p>
    <w:p w14:paraId="1FC2C8A7" w14:textId="2AAF2ADD" w:rsidR="00E92E6B" w:rsidRDefault="00E92E6B" w:rsidP="00E92E6B">
      <w:r>
        <w:t>The calculation of indirect GHG emissions from energy sources often relies on energy consumption data and emission factors provided by energy suppliers. The formula can be expressed as:</w:t>
      </w:r>
    </w:p>
    <w:p w14:paraId="09ABEF15" w14:textId="777AEFA6" w:rsidR="00E92E6B" w:rsidRDefault="0026630E" w:rsidP="00E92E6B">
      <m:oMath>
        <m:r>
          <w:rPr>
            <w:rFonts w:ascii="Cambria Math" w:hAnsi="Cambria Math"/>
          </w:rPr>
          <m:t>Indirect GHG Emissions (Energy) = Energy Consumption × Emission Factor</m:t>
        </m:r>
      </m:oMath>
      <w:r w:rsidR="00502C9B">
        <w:rPr>
          <w:rFonts w:eastAsiaTheme="minorEastAsia"/>
        </w:rPr>
        <w:t xml:space="preserve"> </w:t>
      </w:r>
    </w:p>
    <w:p w14:paraId="224F3B6C" w14:textId="110DF426" w:rsidR="00E92E6B" w:rsidRDefault="00E92E6B" w:rsidP="00E92E6B">
      <w:pPr>
        <w:spacing w:before="0" w:after="0"/>
      </w:pPr>
      <w:r>
        <w:t>Where</w:t>
      </w:r>
      <w:r w:rsidR="0026630E">
        <w:t>,</w:t>
      </w:r>
    </w:p>
    <w:p w14:paraId="54A768B6" w14:textId="77777777" w:rsidR="00E92E6B" w:rsidRDefault="00E92E6B" w:rsidP="00E92E6B">
      <w:pPr>
        <w:spacing w:before="0" w:after="0"/>
      </w:pPr>
      <w:r>
        <w:t>Energy Consumption: The total amount of energy consumed from purchased or imported sources (e.g., electricity, heat).</w:t>
      </w:r>
    </w:p>
    <w:p w14:paraId="3568FD16" w14:textId="77777777" w:rsidR="00E92E6B" w:rsidRDefault="00E92E6B" w:rsidP="00E92E6B">
      <w:pPr>
        <w:spacing w:before="0" w:after="0"/>
      </w:pPr>
      <w:r>
        <w:t>Emission Factor: The emissions associated with each unit of energy consumed (e.g., kg CO2 per kWh of electricity).</w:t>
      </w:r>
    </w:p>
    <w:p w14:paraId="38C15679" w14:textId="17C20F35" w:rsidR="00553E3C" w:rsidRDefault="00E92E6B" w:rsidP="00E92E6B">
      <w:pPr>
        <w:spacing w:before="0" w:after="0"/>
      </w:pPr>
      <w:r>
        <w:t>This formula quantifies the indirect GHG emissions linked to energy consumption.</w:t>
      </w:r>
    </w:p>
    <w:p w14:paraId="6875657B" w14:textId="77777777" w:rsidR="0026630E" w:rsidRPr="00553E3C" w:rsidRDefault="0026630E" w:rsidP="00E92E6B">
      <w:pPr>
        <w:spacing w:before="0" w:after="0"/>
      </w:pPr>
    </w:p>
    <w:p w14:paraId="6027D69D" w14:textId="77777777" w:rsidR="007F46FE" w:rsidRDefault="007F46FE" w:rsidP="007F46FE">
      <w:pPr>
        <w:pStyle w:val="Heading4"/>
        <w:rPr>
          <w:color w:val="000000" w:themeColor="text1"/>
        </w:rPr>
      </w:pPr>
      <w:r w:rsidRPr="00C22C47">
        <w:rPr>
          <w:color w:val="000000" w:themeColor="text1"/>
        </w:rPr>
        <w:t>Indirect GHG Emissions (Other)</w:t>
      </w:r>
    </w:p>
    <w:p w14:paraId="29D662B5" w14:textId="12BAEE48" w:rsidR="0026630E" w:rsidRPr="0026630E" w:rsidRDefault="00960C60" w:rsidP="0026630E">
      <w:r w:rsidRPr="00960C60">
        <w:t>Calculating indirect GHG emissions from other sources often involves data collection and emission factor analysis. The formula may vary depending on the specific source of emissions, and it typically involves multiplying activity data by appropriate emission factors.</w:t>
      </w:r>
    </w:p>
    <w:p w14:paraId="4921EEFB" w14:textId="77777777" w:rsidR="00960C60" w:rsidRDefault="007F46FE">
      <w:pPr>
        <w:pStyle w:val="Heading4"/>
        <w:rPr>
          <w:color w:val="000000" w:themeColor="text1"/>
        </w:rPr>
      </w:pPr>
      <w:r w:rsidRPr="00960C60">
        <w:rPr>
          <w:color w:val="000000" w:themeColor="text1"/>
        </w:rPr>
        <w:t>GHG Intensity</w:t>
      </w:r>
    </w:p>
    <w:p w14:paraId="7DE377A8" w14:textId="51D06EDD" w:rsidR="00C736BC" w:rsidRDefault="00C736BC" w:rsidP="00C736BC">
      <w:r>
        <w:t>GHG intensity is calculated by dividing the total GHG emissions by the relevant activity or output metric</w:t>
      </w:r>
      <w:r w:rsidR="000957C9">
        <w:t xml:space="preserve"> (revenues, sales, unit produced)</w:t>
      </w:r>
      <w:r w:rsidR="00B01D47">
        <w:rPr>
          <w:rStyle w:val="FootnoteReference"/>
        </w:rPr>
        <w:footnoteReference w:id="4"/>
      </w:r>
      <w:r>
        <w:t>. The formula can be expressed as:</w:t>
      </w:r>
    </w:p>
    <w:p w14:paraId="3357890F" w14:textId="6C0BA3C5" w:rsidR="00C736BC" w:rsidRDefault="00C736BC" w:rsidP="00C736BC">
      <m:oMathPara>
        <m:oMath>
          <m:r>
            <w:rPr>
              <w:rFonts w:ascii="Cambria Math" w:hAnsi="Cambria Math"/>
            </w:rPr>
            <m:t>GHG Intensity =</m:t>
          </m:r>
          <m:f>
            <m:fPr>
              <m:ctrlPr>
                <w:rPr>
                  <w:rFonts w:ascii="Cambria Math" w:hAnsi="Cambria Math"/>
                  <w:i/>
                </w:rPr>
              </m:ctrlPr>
            </m:fPr>
            <m:num>
              <m:r>
                <w:rPr>
                  <w:rFonts w:ascii="Cambria Math" w:hAnsi="Cambria Math"/>
                </w:rPr>
                <m:t>Total GHG Emissions</m:t>
              </m:r>
            </m:num>
            <m:den>
              <m:r>
                <w:rPr>
                  <w:rFonts w:ascii="Cambria Math" w:hAnsi="Cambria Math"/>
                </w:rPr>
                <m:t>Activity or Output Metric</m:t>
              </m:r>
            </m:den>
          </m:f>
        </m:oMath>
      </m:oMathPara>
    </w:p>
    <w:p w14:paraId="0688F849" w14:textId="4031E39C" w:rsidR="00960C60" w:rsidRPr="00960C60" w:rsidRDefault="00C736BC" w:rsidP="00C736BC">
      <w:r>
        <w:t>The result indicates how efficiently GHG emissions are associated with a specific activity or output.</w:t>
      </w:r>
    </w:p>
    <w:p w14:paraId="2E40264B" w14:textId="7CE3C5A3" w:rsidR="007057BD" w:rsidRPr="00960C60" w:rsidRDefault="007F46FE">
      <w:pPr>
        <w:pStyle w:val="Heading4"/>
        <w:rPr>
          <w:color w:val="000000" w:themeColor="text1"/>
        </w:rPr>
      </w:pPr>
      <w:r w:rsidRPr="00960C60">
        <w:rPr>
          <w:color w:val="000000" w:themeColor="text1"/>
        </w:rPr>
        <w:t>GHG Reduction</w:t>
      </w:r>
    </w:p>
    <w:p w14:paraId="7FFC1662" w14:textId="60F930E1" w:rsidR="00DD2225" w:rsidRPr="00DD2225" w:rsidRDefault="00DD2225" w:rsidP="00DD2225">
      <w:pPr>
        <w:rPr>
          <w:color w:val="000000" w:themeColor="text1"/>
        </w:rPr>
      </w:pPr>
      <w:r w:rsidRPr="00DD2225">
        <w:rPr>
          <w:color w:val="000000" w:themeColor="text1"/>
        </w:rPr>
        <w:t>The formula for GHG reduction is calculated by comparing the baseline (pre-mitigation) GHG emissions with the post-mitigation GHG emissions. It can be expressed as:</w:t>
      </w:r>
    </w:p>
    <w:p w14:paraId="1548339A" w14:textId="6D3E0D41" w:rsidR="00DD2225" w:rsidRPr="00DD2225" w:rsidRDefault="00DD2225" w:rsidP="00DD2225">
      <w:pPr>
        <w:rPr>
          <w:color w:val="000000" w:themeColor="text1"/>
        </w:rPr>
      </w:pPr>
      <m:oMathPara>
        <m:oMath>
          <m:r>
            <w:rPr>
              <w:rFonts w:ascii="Cambria Math" w:hAnsi="Cambria Math"/>
              <w:color w:val="000000" w:themeColor="text1"/>
            </w:rPr>
            <m:t>GHG Reduction = Baseline GHG Emissions - Post Mitigation GHG Emissions</m:t>
          </m:r>
        </m:oMath>
      </m:oMathPara>
    </w:p>
    <w:p w14:paraId="0730E149" w14:textId="077A4399" w:rsidR="00601C3C" w:rsidRPr="00C22C47" w:rsidRDefault="00DD2225" w:rsidP="00601C3C">
      <w:pPr>
        <w:rPr>
          <w:color w:val="000000" w:themeColor="text1"/>
        </w:rPr>
      </w:pPr>
      <w:r w:rsidRPr="00DD2225">
        <w:rPr>
          <w:color w:val="000000" w:themeColor="text1"/>
        </w:rPr>
        <w:t>This formula measures the decrease in GHG emissions attributable to mitigation actions.</w:t>
      </w:r>
    </w:p>
    <w:p w14:paraId="2921B16B" w14:textId="5D0AF5C7" w:rsidR="00601C3C" w:rsidRPr="00C22C47" w:rsidRDefault="00601C3C" w:rsidP="00601C3C">
      <w:pPr>
        <w:pStyle w:val="Heading2"/>
      </w:pPr>
      <w:bookmarkStart w:id="62" w:name="_Toc146147263"/>
      <w:r w:rsidRPr="00C22C47">
        <w:t>Technical Metric</w:t>
      </w:r>
      <w:bookmarkEnd w:id="62"/>
    </w:p>
    <w:p w14:paraId="2FDB0938" w14:textId="77777777" w:rsidR="000E7A62" w:rsidRPr="00C22C47" w:rsidRDefault="000E7A62" w:rsidP="00FE765C">
      <w:pPr>
        <w:pStyle w:val="Heading3"/>
      </w:pPr>
      <w:bookmarkStart w:id="63" w:name="_Infrastructure_and_Capacity"/>
      <w:bookmarkStart w:id="64" w:name="_Toc146147264"/>
      <w:bookmarkEnd w:id="63"/>
      <w:r w:rsidRPr="00C22C47">
        <w:t>Infrastructure and Capacity</w:t>
      </w:r>
      <w:bookmarkEnd w:id="64"/>
      <w:r w:rsidRPr="00C22C47">
        <w:tab/>
      </w:r>
    </w:p>
    <w:p w14:paraId="60931ED1" w14:textId="60797DC6" w:rsidR="000E7A62" w:rsidRDefault="000E7A62" w:rsidP="00FE765C">
      <w:pPr>
        <w:pStyle w:val="Heading4"/>
        <w:rPr>
          <w:color w:val="000000" w:themeColor="text1"/>
        </w:rPr>
      </w:pPr>
      <w:r w:rsidRPr="00C22C47">
        <w:rPr>
          <w:color w:val="000000" w:themeColor="text1"/>
        </w:rPr>
        <w:t>Current Installed Capacity</w:t>
      </w:r>
    </w:p>
    <w:p w14:paraId="5F91B24D" w14:textId="546F4633" w:rsidR="003160A1" w:rsidRDefault="003160A1" w:rsidP="003160A1">
      <w:r>
        <w:t>The formula is as follows:</w:t>
      </w:r>
    </w:p>
    <w:p w14:paraId="01F403E6" w14:textId="77777777" w:rsidR="00502C9B" w:rsidRPr="00502C9B" w:rsidRDefault="003160A1" w:rsidP="00502C9B">
      <w:pPr>
        <w:spacing w:after="0"/>
        <w:rPr>
          <w:rFonts w:eastAsiaTheme="minorEastAsia"/>
        </w:rPr>
      </w:pPr>
      <m:oMathPara>
        <m:oMath>
          <m:r>
            <w:rPr>
              <w:rFonts w:ascii="Cambria Math" w:hAnsi="Cambria Math"/>
            </w:rPr>
            <m:t xml:space="preserve">Current Installed Capacity = </m:t>
          </m:r>
          <m:nary>
            <m:naryPr>
              <m:chr m:val="∑"/>
              <m:limLoc m:val="undOvr"/>
              <m:subHide m:val="1"/>
              <m:supHide m:val="1"/>
              <m:ctrlPr>
                <w:rPr>
                  <w:rFonts w:ascii="Cambria Math" w:hAnsi="Cambria Math"/>
                  <w:i/>
                </w:rPr>
              </m:ctrlPr>
            </m:naryPr>
            <m:sub/>
            <m:sup/>
            <m:e>
              <m:r>
                <w:rPr>
                  <w:rFonts w:ascii="Cambria Math" w:hAnsi="Cambria Math"/>
                </w:rPr>
                <m:t>Capacity of Each Energy Source</m:t>
              </m:r>
            </m:e>
          </m:nary>
          <m:r>
            <w:rPr>
              <w:rFonts w:ascii="Cambria Math" w:hAnsi="Cambria Math"/>
            </w:rPr>
            <m:t xml:space="preserve"> </m:t>
          </m:r>
        </m:oMath>
      </m:oMathPara>
    </w:p>
    <w:p w14:paraId="23F0F011" w14:textId="11B5AE7F" w:rsidR="00445100" w:rsidRPr="00502C9B" w:rsidRDefault="003B371E" w:rsidP="00502C9B">
      <w:pPr>
        <w:spacing w:before="0" w:after="0"/>
        <w:rPr>
          <w:rFonts w:eastAsiaTheme="minorEastAsia"/>
        </w:rPr>
      </w:pPr>
      <w:r w:rsidRPr="003B371E">
        <w:rPr>
          <w:rFonts w:eastAsiaTheme="minorEastAsia"/>
        </w:rPr>
        <w:t>Capacity of Each Energy Source: The maximum output or generation capacity of each energy source (e.g., power plants, wind turbines, solar panels) within the area of interest.</w:t>
      </w:r>
    </w:p>
    <w:p w14:paraId="07121F1B" w14:textId="3E505DBA" w:rsidR="000E7A62" w:rsidRDefault="000E7A62" w:rsidP="003160A1">
      <w:pPr>
        <w:pStyle w:val="Heading4"/>
      </w:pPr>
      <w:r w:rsidRPr="00C22C47">
        <w:t>Rated capacity</w:t>
      </w:r>
    </w:p>
    <w:p w14:paraId="316B0651" w14:textId="77777777" w:rsidR="003B371E" w:rsidRDefault="003B371E" w:rsidP="003B371E">
      <w:r>
        <w:t>The formula for rated capacity is straightforward:</w:t>
      </w:r>
    </w:p>
    <w:p w14:paraId="70DE7C03" w14:textId="1A09E7E5" w:rsidR="003B371E" w:rsidRDefault="003B371E" w:rsidP="003B371E">
      <m:oMathPara>
        <m:oMath>
          <m:r>
            <w:rPr>
              <w:rFonts w:ascii="Cambria Math" w:hAnsi="Cambria Math"/>
            </w:rPr>
            <m:t>Rated Capacity = Maximum Output under Optimal Conditions</m:t>
          </m:r>
        </m:oMath>
      </m:oMathPara>
    </w:p>
    <w:p w14:paraId="5467B2F4" w14:textId="52F4AA3C" w:rsidR="003B371E" w:rsidRPr="003B371E" w:rsidRDefault="003B371E" w:rsidP="003B371E">
      <w:r>
        <w:t>This value is typically provided by the manufacturer or designer of the energy source or facility.</w:t>
      </w:r>
    </w:p>
    <w:p w14:paraId="5D4006DA" w14:textId="3E720598" w:rsidR="000E7A62" w:rsidRDefault="000E7A62" w:rsidP="00FE765C">
      <w:pPr>
        <w:pStyle w:val="Heading4"/>
        <w:rPr>
          <w:color w:val="000000" w:themeColor="text1"/>
        </w:rPr>
      </w:pPr>
      <w:r w:rsidRPr="00C22C47">
        <w:rPr>
          <w:color w:val="000000" w:themeColor="text1"/>
        </w:rPr>
        <w:t>Compatibility with existing infrastructure</w:t>
      </w:r>
    </w:p>
    <w:p w14:paraId="0F582DFA" w14:textId="791C9C65" w:rsidR="003B371E" w:rsidRPr="003B371E" w:rsidRDefault="002437A8" w:rsidP="003B371E">
      <w:r w:rsidRPr="002437A8">
        <w:t>There is no specific mathematical formula for this metric. It involves a qualitative assessment of how well the new energy project aligns with and can be integrated into the existing infrastructure. Factors such as grid connectivity, voltage compatibility, and infrastructure upgrades may be considered.</w:t>
      </w:r>
    </w:p>
    <w:p w14:paraId="7C53D44D" w14:textId="374D6399" w:rsidR="000E7A62" w:rsidRDefault="000E7A62" w:rsidP="00FE765C">
      <w:pPr>
        <w:pStyle w:val="Heading4"/>
        <w:rPr>
          <w:color w:val="000000" w:themeColor="text1"/>
        </w:rPr>
      </w:pPr>
      <w:r w:rsidRPr="00C22C47">
        <w:rPr>
          <w:color w:val="000000" w:themeColor="text1"/>
        </w:rPr>
        <w:t>Availability of local skill and resources</w:t>
      </w:r>
    </w:p>
    <w:p w14:paraId="0C85A208" w14:textId="6F37287D" w:rsidR="002437A8" w:rsidRPr="002437A8" w:rsidRDefault="002437A8" w:rsidP="002437A8">
      <w:r w:rsidRPr="002437A8">
        <w:t>This metric is typically assessed qualitatively, taking into account factors like the availability of a skilled workforce, training programs, local suppliers, and logistical support. There is no specific mathematical formula for this assessment.</w:t>
      </w:r>
    </w:p>
    <w:p w14:paraId="37047886" w14:textId="2EF2B415" w:rsidR="000E7A62" w:rsidRDefault="000E7A62" w:rsidP="00FE765C">
      <w:pPr>
        <w:pStyle w:val="Heading4"/>
        <w:rPr>
          <w:color w:val="000000" w:themeColor="text1"/>
        </w:rPr>
      </w:pPr>
      <w:r w:rsidRPr="00C22C47">
        <w:rPr>
          <w:color w:val="000000" w:themeColor="text1"/>
        </w:rPr>
        <w:t>Degree of local ownership</w:t>
      </w:r>
    </w:p>
    <w:p w14:paraId="6AFD729A" w14:textId="77777777" w:rsidR="00621807" w:rsidRDefault="00621807" w:rsidP="00621807">
      <w:r>
        <w:t>To calculate the degree of local ownership, you can use the following formula:</w:t>
      </w:r>
    </w:p>
    <w:p w14:paraId="0CBCC160" w14:textId="0FDFBFE0" w:rsidR="002437A8" w:rsidRPr="002437A8" w:rsidRDefault="003B1CAA" w:rsidP="00621807">
      <m:oMath>
        <m:r>
          <w:rPr>
            <w:rFonts w:ascii="Cambria Math" w:hAnsi="Cambria Math"/>
          </w:rPr>
          <m:t xml:space="preserve">Degree of Local Ownership (%) = </m:t>
        </m:r>
        <m:d>
          <m:dPr>
            <m:ctrlPr>
              <w:rPr>
                <w:rFonts w:ascii="Cambria Math" w:hAnsi="Cambria Math"/>
                <w:i/>
              </w:rPr>
            </m:ctrlPr>
          </m:dPr>
          <m:e>
            <m:f>
              <m:fPr>
                <m:ctrlPr>
                  <w:rPr>
                    <w:rFonts w:ascii="Cambria Math" w:hAnsi="Cambria Math"/>
                    <w:i/>
                  </w:rPr>
                </m:ctrlPr>
              </m:fPr>
              <m:num>
                <m:r>
                  <w:rPr>
                    <w:rFonts w:ascii="Cambria Math" w:hAnsi="Cambria Math"/>
                  </w:rPr>
                  <m:t>Local Ownership Value</m:t>
                </m:r>
              </m:num>
              <m:den>
                <m:r>
                  <w:rPr>
                    <w:rFonts w:ascii="Cambria Math" w:hAnsi="Cambria Math"/>
                  </w:rPr>
                  <m:t>Total Ownership Value</m:t>
                </m:r>
              </m:den>
            </m:f>
          </m:e>
        </m:d>
        <m:r>
          <w:rPr>
            <w:rFonts w:ascii="Cambria Math" w:hAnsi="Cambria Math"/>
          </w:rPr>
          <m:t xml:space="preserve"> × 100</m:t>
        </m:r>
      </m:oMath>
      <w:r w:rsidR="009B47DE">
        <w:rPr>
          <w:rFonts w:eastAsiaTheme="minorEastAsia"/>
        </w:rPr>
        <w:t xml:space="preserve"> </w:t>
      </w:r>
    </w:p>
    <w:p w14:paraId="7ABFD62C" w14:textId="77777777" w:rsidR="007D7C1F" w:rsidRPr="007D7C1F" w:rsidRDefault="007D7C1F" w:rsidP="007D7C1F">
      <w:pPr>
        <w:spacing w:before="0" w:after="0"/>
        <w:rPr>
          <w:color w:val="000000" w:themeColor="text1"/>
        </w:rPr>
      </w:pPr>
      <w:r w:rsidRPr="007D7C1F">
        <w:rPr>
          <w:color w:val="000000" w:themeColor="text1"/>
        </w:rPr>
        <w:t>Where:</w:t>
      </w:r>
    </w:p>
    <w:p w14:paraId="028AE1C7" w14:textId="77777777" w:rsidR="007D7C1F" w:rsidRPr="007D7C1F" w:rsidRDefault="007D7C1F" w:rsidP="007D7C1F">
      <w:pPr>
        <w:spacing w:before="0" w:after="0"/>
        <w:rPr>
          <w:color w:val="000000" w:themeColor="text1"/>
        </w:rPr>
      </w:pPr>
      <w:r w:rsidRPr="007D7C1F">
        <w:rPr>
          <w:color w:val="000000" w:themeColor="text1"/>
        </w:rPr>
        <w:t>Local Ownership Value: The total value or percentage of ownership held by local entities or stakeholders.</w:t>
      </w:r>
    </w:p>
    <w:p w14:paraId="25044BFD" w14:textId="77777777" w:rsidR="007D7C1F" w:rsidRDefault="007D7C1F" w:rsidP="007D7C1F">
      <w:pPr>
        <w:spacing w:before="0" w:after="0"/>
        <w:rPr>
          <w:color w:val="000000" w:themeColor="text1"/>
        </w:rPr>
      </w:pPr>
      <w:r w:rsidRPr="007D7C1F">
        <w:rPr>
          <w:color w:val="000000" w:themeColor="text1"/>
        </w:rPr>
        <w:t>Total Ownership Value: The overall value or percentage of ownership of the energy project or facility.</w:t>
      </w:r>
    </w:p>
    <w:p w14:paraId="3B12E079" w14:textId="77777777" w:rsidR="007D7C1F" w:rsidRPr="007D7C1F" w:rsidRDefault="007D7C1F" w:rsidP="007D7C1F">
      <w:pPr>
        <w:spacing w:before="0" w:after="0"/>
        <w:rPr>
          <w:color w:val="000000" w:themeColor="text1"/>
        </w:rPr>
      </w:pPr>
    </w:p>
    <w:p w14:paraId="181479F5" w14:textId="7C4BBEDC" w:rsidR="000E7A62" w:rsidRPr="00C22C47" w:rsidRDefault="007D7C1F" w:rsidP="007D7C1F">
      <w:pPr>
        <w:spacing w:before="0" w:after="0"/>
        <w:rPr>
          <w:color w:val="000000" w:themeColor="text1"/>
        </w:rPr>
      </w:pPr>
      <w:r w:rsidRPr="007D7C1F">
        <w:rPr>
          <w:color w:val="000000" w:themeColor="text1"/>
        </w:rPr>
        <w:t>The result is expressed as a percentage, indicating the share of ownership that is local.</w:t>
      </w:r>
      <w:r>
        <w:rPr>
          <w:color w:val="000000" w:themeColor="text1"/>
        </w:rPr>
        <w:t xml:space="preserve"> </w:t>
      </w:r>
      <w:r w:rsidRPr="007D7C1F">
        <w:rPr>
          <w:color w:val="000000" w:themeColor="text1"/>
        </w:rPr>
        <w:t>These metrics involve both quantitative and qualitative assessments to evaluate various aspects of energy infrastructure and its alignment with local conditions and needs.</w:t>
      </w:r>
    </w:p>
    <w:p w14:paraId="1F0B854A" w14:textId="77777777" w:rsidR="000E7A62" w:rsidRPr="00C22C47" w:rsidRDefault="000E7A62" w:rsidP="00FE765C">
      <w:pPr>
        <w:pStyle w:val="Heading3"/>
      </w:pPr>
      <w:bookmarkStart w:id="65" w:name="_Efficiency_and_Performance"/>
      <w:bookmarkStart w:id="66" w:name="_Toc146147265"/>
      <w:bookmarkEnd w:id="65"/>
      <w:r w:rsidRPr="00C22C47">
        <w:t>Efficiency and Performance</w:t>
      </w:r>
      <w:bookmarkEnd w:id="66"/>
      <w:r w:rsidRPr="00C22C47">
        <w:tab/>
      </w:r>
    </w:p>
    <w:p w14:paraId="41906B8B" w14:textId="64976506" w:rsidR="000E7A62" w:rsidRDefault="000E7A62" w:rsidP="00FE765C">
      <w:pPr>
        <w:pStyle w:val="Heading4"/>
        <w:rPr>
          <w:color w:val="000000" w:themeColor="text1"/>
        </w:rPr>
      </w:pPr>
      <w:r w:rsidRPr="00C22C47">
        <w:rPr>
          <w:color w:val="000000" w:themeColor="text1"/>
        </w:rPr>
        <w:t>Conversion system efficiency</w:t>
      </w:r>
    </w:p>
    <w:p w14:paraId="3BC802D1" w14:textId="684F09C9" w:rsidR="00923528" w:rsidRDefault="00923528" w:rsidP="00923528">
      <w:r>
        <w:t>The formula for conversion system efficiency is:</w:t>
      </w:r>
    </w:p>
    <w:p w14:paraId="1FEA8413" w14:textId="467D301E" w:rsidR="00923528" w:rsidRDefault="00AE4A3F" w:rsidP="00923528">
      <m:oMathPara>
        <m:oMath>
          <m:r>
            <w:rPr>
              <w:rFonts w:ascii="Cambria Math" w:hAnsi="Cambria Math"/>
            </w:rPr>
            <m:t xml:space="preserve">Efficiency (%) = </m:t>
          </m:r>
          <m:d>
            <m:dPr>
              <m:ctrlPr>
                <w:rPr>
                  <w:rFonts w:ascii="Cambria Math" w:hAnsi="Cambria Math"/>
                  <w:i/>
                </w:rPr>
              </m:ctrlPr>
            </m:dPr>
            <m:e>
              <m:f>
                <m:fPr>
                  <m:ctrlPr>
                    <w:rPr>
                      <w:rFonts w:ascii="Cambria Math" w:hAnsi="Cambria Math"/>
                      <w:i/>
                    </w:rPr>
                  </m:ctrlPr>
                </m:fPr>
                <m:num>
                  <m:r>
                    <w:rPr>
                      <w:rFonts w:ascii="Cambria Math" w:hAnsi="Cambria Math"/>
                    </w:rPr>
                    <m:t>Useful Output Energy</m:t>
                  </m:r>
                </m:num>
                <m:den>
                  <m:r>
                    <w:rPr>
                      <w:rFonts w:ascii="Cambria Math" w:hAnsi="Cambria Math"/>
                    </w:rPr>
                    <m:t>Input Energy</m:t>
                  </m:r>
                </m:den>
              </m:f>
            </m:e>
          </m:d>
          <m:r>
            <w:rPr>
              <w:rFonts w:ascii="Cambria Math" w:hAnsi="Cambria Math"/>
            </w:rPr>
            <m:t xml:space="preserve"> × 100</m:t>
          </m:r>
        </m:oMath>
      </m:oMathPara>
    </w:p>
    <w:p w14:paraId="71CD9BFB" w14:textId="0B825C50" w:rsidR="00923528" w:rsidRDefault="00923528" w:rsidP="00AE4A3F">
      <w:pPr>
        <w:spacing w:before="0" w:after="0"/>
      </w:pPr>
      <w:r>
        <w:t>Where:</w:t>
      </w:r>
    </w:p>
    <w:p w14:paraId="77E5EABD" w14:textId="77777777" w:rsidR="00923528" w:rsidRDefault="00923528" w:rsidP="00AE4A3F">
      <w:pPr>
        <w:spacing w:before="0" w:after="0"/>
      </w:pPr>
      <w:r>
        <w:t>Useful Output Energy: The energy output that serves a useful purpose (e.g., electricity generation, mechanical work).</w:t>
      </w:r>
    </w:p>
    <w:p w14:paraId="4A6B3D7C" w14:textId="77777777" w:rsidR="00923528" w:rsidRDefault="00923528" w:rsidP="00AE4A3F">
      <w:pPr>
        <w:spacing w:before="0" w:after="0"/>
      </w:pPr>
      <w:r>
        <w:t>Input Energy: The energy input required to operate the conversion system.</w:t>
      </w:r>
    </w:p>
    <w:p w14:paraId="477E7E5E" w14:textId="77777777" w:rsidR="00AE4A3F" w:rsidRDefault="00AE4A3F" w:rsidP="00AE4A3F">
      <w:pPr>
        <w:spacing w:before="0" w:after="0"/>
      </w:pPr>
    </w:p>
    <w:p w14:paraId="3DD62961" w14:textId="2E937AFC" w:rsidR="00923528" w:rsidRDefault="00923528" w:rsidP="00AE4A3F">
      <w:pPr>
        <w:spacing w:before="0" w:after="0"/>
      </w:pPr>
      <w:r>
        <w:t>The result is expressed as a percentage, indicating how effectively the system converts energy.</w:t>
      </w:r>
    </w:p>
    <w:p w14:paraId="5C7A9C8B" w14:textId="2FF358C1" w:rsidR="000E7A62" w:rsidRDefault="000E7A62" w:rsidP="00AE4A3F">
      <w:pPr>
        <w:pStyle w:val="Heading4"/>
      </w:pPr>
      <w:r w:rsidRPr="00C22C47">
        <w:t>Distribution system efficiency</w:t>
      </w:r>
    </w:p>
    <w:p w14:paraId="02BA4E45" w14:textId="73429B30" w:rsidR="00922F33" w:rsidRDefault="00922F33" w:rsidP="00922F33">
      <w:r>
        <w:t>Distribution system efficiency is often calculated as:</w:t>
      </w:r>
    </w:p>
    <w:p w14:paraId="42324B24" w14:textId="1E871A0D" w:rsidR="00922F33" w:rsidRDefault="00922F33" w:rsidP="00922F33">
      <m:oMathPara>
        <m:oMath>
          <m:r>
            <w:rPr>
              <w:rFonts w:ascii="Cambria Math" w:hAnsi="Cambria Math"/>
            </w:rPr>
            <m:t xml:space="preserve">Efficiency </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Useful Energy Delivered</m:t>
              </m:r>
            </m:num>
            <m:den>
              <m:r>
                <w:rPr>
                  <w:rFonts w:ascii="Cambria Math" w:hAnsi="Cambria Math"/>
                </w:rPr>
                <m:t>Total Energy Input</m:t>
              </m:r>
            </m:den>
          </m:f>
          <m:r>
            <w:rPr>
              <w:rFonts w:ascii="Cambria Math" w:hAnsi="Cambria Math"/>
            </w:rPr>
            <m:t>× 100</m:t>
          </m:r>
        </m:oMath>
      </m:oMathPara>
    </w:p>
    <w:p w14:paraId="36A9A8FE" w14:textId="74A3CF52" w:rsidR="00922F33" w:rsidRDefault="00922F33" w:rsidP="00922F33">
      <w:pPr>
        <w:spacing w:before="0" w:after="0"/>
      </w:pPr>
      <w:r>
        <w:t>Where:</w:t>
      </w:r>
    </w:p>
    <w:p w14:paraId="25C4DDBC" w14:textId="77777777" w:rsidR="00922F33" w:rsidRDefault="00922F33" w:rsidP="00922F33">
      <w:pPr>
        <w:spacing w:before="0" w:after="0"/>
      </w:pPr>
      <w:r>
        <w:t>Useful Energy Delivered: The energy delivered to end-users for their intended purposes.</w:t>
      </w:r>
    </w:p>
    <w:p w14:paraId="0C7B3763" w14:textId="77777777" w:rsidR="00922F33" w:rsidRDefault="00922F33" w:rsidP="00922F33">
      <w:pPr>
        <w:spacing w:before="0" w:after="0"/>
      </w:pPr>
      <w:r>
        <w:t>Total Energy Input: The total energy input into the distribution system, which includes losses.</w:t>
      </w:r>
    </w:p>
    <w:p w14:paraId="642F68C3" w14:textId="77777777" w:rsidR="00922F33" w:rsidRDefault="00922F33" w:rsidP="00922F33">
      <w:pPr>
        <w:spacing w:before="0" w:after="0"/>
      </w:pPr>
    </w:p>
    <w:p w14:paraId="33F3F3E6" w14:textId="6E088C61" w:rsidR="00922F33" w:rsidRPr="00922F33" w:rsidRDefault="00922F33" w:rsidP="00922F33">
      <w:pPr>
        <w:spacing w:before="0" w:after="0"/>
      </w:pPr>
      <w:r>
        <w:t>This formula quantifies the efficiency of the distribution process.</w:t>
      </w:r>
    </w:p>
    <w:p w14:paraId="66D473A9" w14:textId="3924E4A1" w:rsidR="000E7A62" w:rsidRDefault="000E7A62" w:rsidP="00FE765C">
      <w:pPr>
        <w:pStyle w:val="Heading4"/>
        <w:rPr>
          <w:color w:val="000000" w:themeColor="text1"/>
        </w:rPr>
      </w:pPr>
      <w:r w:rsidRPr="00C22C47">
        <w:rPr>
          <w:color w:val="000000" w:themeColor="text1"/>
        </w:rPr>
        <w:t>System Efficiency</w:t>
      </w:r>
    </w:p>
    <w:p w14:paraId="08E6126E" w14:textId="07D56104" w:rsidR="00DB65E1" w:rsidRDefault="00DB65E1" w:rsidP="00DB65E1">
      <w:r>
        <w:t>System efficiency can be calculated as:</w:t>
      </w:r>
    </w:p>
    <w:p w14:paraId="115A7B72" w14:textId="76DAFC01" w:rsidR="00DB65E1" w:rsidRDefault="00DB65E1" w:rsidP="00DB65E1">
      <m:oMathPara>
        <m:oMath>
          <m:r>
            <w:rPr>
              <w:rFonts w:ascii="Cambria Math" w:hAnsi="Cambria Math"/>
            </w:rPr>
            <m:t xml:space="preserve">Efficiency (%) = </m:t>
          </m:r>
          <m:d>
            <m:dPr>
              <m:ctrlPr>
                <w:rPr>
                  <w:rFonts w:ascii="Cambria Math" w:hAnsi="Cambria Math"/>
                  <w:i/>
                </w:rPr>
              </m:ctrlPr>
            </m:dPr>
            <m:e>
              <m:f>
                <m:fPr>
                  <m:ctrlPr>
                    <w:rPr>
                      <w:rFonts w:ascii="Cambria Math" w:hAnsi="Cambria Math"/>
                      <w:i/>
                    </w:rPr>
                  </m:ctrlPr>
                </m:fPr>
                <m:num>
                  <m:r>
                    <w:rPr>
                      <w:rFonts w:ascii="Cambria Math" w:hAnsi="Cambria Math"/>
                    </w:rPr>
                    <m:t>Useful Output Energy</m:t>
                  </m:r>
                </m:num>
                <m:den>
                  <m:r>
                    <w:rPr>
                      <w:rFonts w:ascii="Cambria Math" w:hAnsi="Cambria Math"/>
                    </w:rPr>
                    <m:t>Total Energy Input</m:t>
                  </m:r>
                </m:den>
              </m:f>
            </m:e>
          </m:d>
          <m:r>
            <w:rPr>
              <w:rFonts w:ascii="Cambria Math" w:hAnsi="Cambria Math"/>
            </w:rPr>
            <m:t xml:space="preserve"> × 100</m:t>
          </m:r>
        </m:oMath>
      </m:oMathPara>
    </w:p>
    <w:p w14:paraId="15199A04" w14:textId="579D6806" w:rsidR="00DB65E1" w:rsidRDefault="00DB65E1" w:rsidP="00DB65E1">
      <w:pPr>
        <w:spacing w:before="0" w:after="0"/>
      </w:pPr>
      <w:r>
        <w:t>Where:</w:t>
      </w:r>
    </w:p>
    <w:p w14:paraId="123651F7" w14:textId="77777777" w:rsidR="00DB65E1" w:rsidRDefault="00DB65E1" w:rsidP="00DB65E1">
      <w:pPr>
        <w:spacing w:before="0" w:after="0"/>
      </w:pPr>
      <w:r>
        <w:t>Useful Output Energy: The energy output that serves a useful purpose.</w:t>
      </w:r>
    </w:p>
    <w:p w14:paraId="48F32149" w14:textId="77777777" w:rsidR="00DB65E1" w:rsidRDefault="00DB65E1" w:rsidP="00DB65E1">
      <w:pPr>
        <w:spacing w:before="0" w:after="0"/>
      </w:pPr>
      <w:r>
        <w:t>Total Energy Input: The total energy input into the entire energy system, considering losses in conversion and distribution.</w:t>
      </w:r>
    </w:p>
    <w:p w14:paraId="2B28BB9A" w14:textId="3250BBF8" w:rsidR="00922F33" w:rsidRPr="00922F33" w:rsidRDefault="00DB65E1" w:rsidP="00DB65E1">
      <w:r>
        <w:t>This formula provides an assessment of the overall efficiency of the entire energy system.</w:t>
      </w:r>
    </w:p>
    <w:p w14:paraId="7F65FB33" w14:textId="219017BB" w:rsidR="000E7A62" w:rsidRDefault="000E7A62" w:rsidP="00FE765C">
      <w:pPr>
        <w:pStyle w:val="Heading4"/>
        <w:rPr>
          <w:color w:val="000000" w:themeColor="text1"/>
        </w:rPr>
      </w:pPr>
      <w:r w:rsidRPr="00C22C47">
        <w:rPr>
          <w:color w:val="000000" w:themeColor="text1"/>
        </w:rPr>
        <w:t>Capacity Factor</w:t>
      </w:r>
    </w:p>
    <w:p w14:paraId="69FC6C8F" w14:textId="77777777" w:rsidR="00C51858" w:rsidRDefault="00C51858" w:rsidP="00C51858">
      <w:r>
        <w:t>Capacity factor is calculated as:</w:t>
      </w:r>
    </w:p>
    <w:p w14:paraId="13DD9B78" w14:textId="77777777" w:rsidR="00C51858" w:rsidRDefault="00C51858" w:rsidP="00C51858"/>
    <w:p w14:paraId="5DADDDEC" w14:textId="7FAF66C2" w:rsidR="00C51858" w:rsidRDefault="00C51858" w:rsidP="00C51858">
      <m:oMathPara>
        <m:oMath>
          <m:r>
            <w:rPr>
              <w:rFonts w:ascii="Cambria Math" w:hAnsi="Cambria Math"/>
            </w:rPr>
            <m:t xml:space="preserve">Capacity Factor (%) = </m:t>
          </m:r>
          <m:d>
            <m:dPr>
              <m:ctrlPr>
                <w:rPr>
                  <w:rFonts w:ascii="Cambria Math" w:hAnsi="Cambria Math"/>
                  <w:i/>
                </w:rPr>
              </m:ctrlPr>
            </m:dPr>
            <m:e>
              <m:f>
                <m:fPr>
                  <m:ctrlPr>
                    <w:rPr>
                      <w:rFonts w:ascii="Cambria Math" w:hAnsi="Cambria Math"/>
                      <w:i/>
                    </w:rPr>
                  </m:ctrlPr>
                </m:fPr>
                <m:num>
                  <m:r>
                    <w:rPr>
                      <w:rFonts w:ascii="Cambria Math" w:hAnsi="Cambria Math"/>
                    </w:rPr>
                    <m:t>Actual Energy Output</m:t>
                  </m:r>
                </m:num>
                <m:den>
                  <m:r>
                    <w:rPr>
                      <w:rFonts w:ascii="Cambria Math" w:hAnsi="Cambria Math"/>
                    </w:rPr>
                    <m:t>Rated Capacity x Hours in the Time Period</m:t>
                  </m:r>
                </m:den>
              </m:f>
            </m:e>
          </m:d>
          <m:r>
            <w:rPr>
              <w:rFonts w:ascii="Cambria Math" w:hAnsi="Cambria Math"/>
            </w:rPr>
            <m:t xml:space="preserve"> × 100</m:t>
          </m:r>
        </m:oMath>
      </m:oMathPara>
    </w:p>
    <w:p w14:paraId="74FD0536" w14:textId="156E4ED0" w:rsidR="00C51858" w:rsidRDefault="00C51858" w:rsidP="00C51858">
      <w:pPr>
        <w:spacing w:before="0" w:after="0"/>
      </w:pPr>
      <w:r>
        <w:t>Where:</w:t>
      </w:r>
    </w:p>
    <w:p w14:paraId="29BDE586" w14:textId="77777777" w:rsidR="00C51858" w:rsidRDefault="00C51858" w:rsidP="00C51858">
      <w:pPr>
        <w:spacing w:before="0" w:after="0"/>
      </w:pPr>
      <w:r>
        <w:t>Actual Energy Output: The total energy generated during the specified time period.</w:t>
      </w:r>
    </w:p>
    <w:p w14:paraId="751B17B9" w14:textId="77777777" w:rsidR="00C51858" w:rsidRDefault="00C51858" w:rsidP="00C51858">
      <w:pPr>
        <w:spacing w:before="0" w:after="0"/>
      </w:pPr>
      <w:r>
        <w:t>Rated Capacity: The maximum output capacity of the energy generation system.</w:t>
      </w:r>
    </w:p>
    <w:p w14:paraId="2B6A1071" w14:textId="77777777" w:rsidR="00C51858" w:rsidRDefault="00C51858" w:rsidP="00C51858">
      <w:pPr>
        <w:spacing w:before="0" w:after="0"/>
      </w:pPr>
      <w:r>
        <w:t>Hours in the Time Period: The number of hours in the time period being considered (e.g., a day, a year).</w:t>
      </w:r>
    </w:p>
    <w:p w14:paraId="6313873C" w14:textId="1F0578D3" w:rsidR="00DB65E1" w:rsidRPr="00DB65E1" w:rsidRDefault="00C51858" w:rsidP="00C51858">
      <w:r>
        <w:t>This metric indicates how efficiently a generation system is being utilized compared to its maximum potential.</w:t>
      </w:r>
    </w:p>
    <w:p w14:paraId="0662C772" w14:textId="2FEB1FF3" w:rsidR="000E7A62" w:rsidRPr="00C22C47" w:rsidRDefault="000E7A62" w:rsidP="00FE765C">
      <w:pPr>
        <w:pStyle w:val="Heading4"/>
        <w:rPr>
          <w:color w:val="000000" w:themeColor="text1"/>
        </w:rPr>
      </w:pPr>
      <w:r w:rsidRPr="00C22C47">
        <w:rPr>
          <w:color w:val="000000" w:themeColor="text1"/>
        </w:rPr>
        <w:t>Scalability</w:t>
      </w:r>
    </w:p>
    <w:p w14:paraId="19616E4B" w14:textId="567BE574" w:rsidR="000E7A62" w:rsidRPr="00C22C47" w:rsidRDefault="000148EC" w:rsidP="000E7A62">
      <w:pPr>
        <w:rPr>
          <w:color w:val="000000" w:themeColor="text1"/>
        </w:rPr>
      </w:pPr>
      <w:r w:rsidRPr="000148EC">
        <w:rPr>
          <w:color w:val="000000" w:themeColor="text1"/>
        </w:rPr>
        <w:t>Scalability is not typically measured using a specific formula. Instead, it is evaluated based on qualitative criteria, including the ease of replicating or expanding the technology, the availability of necessary resources, and the adaptability to varying conditions and demand.</w:t>
      </w:r>
    </w:p>
    <w:p w14:paraId="6D91FFFD" w14:textId="77777777" w:rsidR="000E7A62" w:rsidRPr="00C22C47" w:rsidRDefault="000E7A62" w:rsidP="00FE765C">
      <w:pPr>
        <w:pStyle w:val="Heading3"/>
      </w:pPr>
      <w:bookmarkStart w:id="67" w:name="_Technology_Readiness"/>
      <w:bookmarkStart w:id="68" w:name="_Toc146147266"/>
      <w:bookmarkEnd w:id="67"/>
      <w:r w:rsidRPr="00C22C47">
        <w:t>Technology Readiness</w:t>
      </w:r>
      <w:bookmarkEnd w:id="68"/>
      <w:r w:rsidRPr="00C22C47">
        <w:tab/>
      </w:r>
    </w:p>
    <w:p w14:paraId="168A13E5" w14:textId="49D0E29A" w:rsidR="000E7A62" w:rsidRDefault="000E7A62" w:rsidP="00FE765C">
      <w:pPr>
        <w:pStyle w:val="Heading4"/>
        <w:rPr>
          <w:color w:val="000000" w:themeColor="text1"/>
        </w:rPr>
      </w:pPr>
      <w:r w:rsidRPr="00C22C47">
        <w:rPr>
          <w:color w:val="000000" w:themeColor="text1"/>
        </w:rPr>
        <w:t>Technology Readiness Level (TRL)</w:t>
      </w:r>
    </w:p>
    <w:p w14:paraId="247DE263" w14:textId="0EBC523F" w:rsidR="000148EC" w:rsidRPr="000148EC" w:rsidRDefault="006D09AB" w:rsidP="000148EC">
      <w:r w:rsidRPr="006D09AB">
        <w:t>TRL is not calculated using a specific formula but is typically determined through a qualitative assessment.</w:t>
      </w:r>
    </w:p>
    <w:p w14:paraId="4A29E380" w14:textId="6A357DE6" w:rsidR="000E7A62" w:rsidRPr="00C22C47" w:rsidRDefault="000E7A62" w:rsidP="00FE765C">
      <w:pPr>
        <w:pStyle w:val="Heading4"/>
        <w:rPr>
          <w:color w:val="000000" w:themeColor="text1"/>
        </w:rPr>
      </w:pPr>
      <w:r w:rsidRPr="00C22C47">
        <w:rPr>
          <w:color w:val="000000" w:themeColor="text1"/>
        </w:rPr>
        <w:t>Localizing technology and technical knowledge</w:t>
      </w:r>
    </w:p>
    <w:p w14:paraId="1C980A37" w14:textId="294D92DA" w:rsidR="000E7A62" w:rsidRPr="00C22C47" w:rsidRDefault="006D09AB" w:rsidP="000E7A62">
      <w:pPr>
        <w:rPr>
          <w:color w:val="000000" w:themeColor="text1"/>
        </w:rPr>
      </w:pPr>
      <w:r w:rsidRPr="006D09AB">
        <w:rPr>
          <w:color w:val="000000" w:themeColor="text1"/>
        </w:rPr>
        <w:t>There is no specific mathematical formula for assessing the degree of technology localization. Instead, it is evaluated based on qualitative factors</w:t>
      </w:r>
    </w:p>
    <w:p w14:paraId="3683DE34" w14:textId="77777777" w:rsidR="000E7A62" w:rsidRPr="00C22C47" w:rsidRDefault="000E7A62" w:rsidP="000E7A62">
      <w:pPr>
        <w:pStyle w:val="Heading3"/>
      </w:pPr>
      <w:bookmarkStart w:id="69" w:name="_Toc146147267"/>
      <w:r w:rsidRPr="00C22C47">
        <w:t>Safety and Risk Management</w:t>
      </w:r>
      <w:bookmarkEnd w:id="69"/>
      <w:r w:rsidRPr="00C22C47">
        <w:tab/>
      </w:r>
    </w:p>
    <w:p w14:paraId="44097EE4" w14:textId="0FCC952F" w:rsidR="000E7A62" w:rsidRDefault="000E7A62" w:rsidP="00FE765C">
      <w:pPr>
        <w:pStyle w:val="Heading4"/>
        <w:rPr>
          <w:color w:val="000000" w:themeColor="text1"/>
        </w:rPr>
      </w:pPr>
      <w:r w:rsidRPr="00C22C47">
        <w:rPr>
          <w:color w:val="000000" w:themeColor="text1"/>
        </w:rPr>
        <w:t>Safety</w:t>
      </w:r>
    </w:p>
    <w:p w14:paraId="55F26BC9" w14:textId="2B609508" w:rsidR="00A35102" w:rsidRDefault="00A35102" w:rsidP="00A35102">
      <m:oMathPara>
        <m:oMath>
          <m:r>
            <w:rPr>
              <w:rFonts w:ascii="Cambria Math" w:hAnsi="Cambria Math"/>
            </w:rPr>
            <m:t xml:space="preserve">Safety Index = </m:t>
          </m:r>
          <m:d>
            <m:dPr>
              <m:ctrlPr>
                <w:rPr>
                  <w:rFonts w:ascii="Cambria Math" w:hAnsi="Cambria Math"/>
                  <w:i/>
                </w:rPr>
              </m:ctrlPr>
            </m:dPr>
            <m:e>
              <m:f>
                <m:fPr>
                  <m:ctrlPr>
                    <w:rPr>
                      <w:rFonts w:ascii="Cambria Math" w:hAnsi="Cambria Math"/>
                      <w:i/>
                    </w:rPr>
                  </m:ctrlPr>
                </m:fPr>
                <m:num>
                  <m:r>
                    <w:rPr>
                      <w:rFonts w:ascii="Cambria Math" w:hAnsi="Cambria Math"/>
                    </w:rPr>
                    <m:t>Number of Safety Incidents</m:t>
                  </m:r>
                </m:num>
                <m:den>
                  <m:r>
                    <w:rPr>
                      <w:rFonts w:ascii="Cambria Math" w:hAnsi="Cambria Math"/>
                    </w:rPr>
                    <m:t>Total Activities or Operations</m:t>
                  </m:r>
                </m:den>
              </m:f>
            </m:e>
          </m:d>
          <m:r>
            <w:rPr>
              <w:rFonts w:ascii="Cambria Math" w:hAnsi="Cambria Math"/>
            </w:rPr>
            <m:t xml:space="preserve"> × 100</m:t>
          </m:r>
        </m:oMath>
      </m:oMathPara>
    </w:p>
    <w:p w14:paraId="7B4BF58B" w14:textId="501DED4A" w:rsidR="00A35102" w:rsidRPr="00A35102" w:rsidRDefault="00A35102" w:rsidP="00A35102">
      <w:r>
        <w:t>This formula quantifies safety by calculating the percentage of safety incidents relative to the total number of activities or operations. A lower Safety Index indicates a safer environment.</w:t>
      </w:r>
    </w:p>
    <w:p w14:paraId="3B55BF0E" w14:textId="44B36692" w:rsidR="000E7A62" w:rsidRDefault="000E7A62" w:rsidP="000E7A62">
      <w:pPr>
        <w:pStyle w:val="Heading4"/>
        <w:rPr>
          <w:color w:val="000000" w:themeColor="text1"/>
        </w:rPr>
      </w:pPr>
      <w:r w:rsidRPr="00C22C47">
        <w:rPr>
          <w:color w:val="000000" w:themeColor="text1"/>
        </w:rPr>
        <w:t>Risk</w:t>
      </w:r>
    </w:p>
    <w:p w14:paraId="33EDB08C" w14:textId="62764E1C" w:rsidR="0072752E" w:rsidRDefault="0072752E" w:rsidP="0072752E">
      <m:oMath>
        <m:r>
          <w:rPr>
            <w:rFonts w:ascii="Cambria Math" w:hAnsi="Cambria Math"/>
          </w:rPr>
          <m:t>Risk Assessment = Probability of Occurrence × Impact</m:t>
        </m:r>
      </m:oMath>
      <w:r>
        <w:rPr>
          <w:rFonts w:eastAsiaTheme="minorEastAsia"/>
        </w:rPr>
        <w:t xml:space="preserve"> </w:t>
      </w:r>
    </w:p>
    <w:p w14:paraId="409AB5A3" w14:textId="77777777" w:rsidR="0072752E" w:rsidRDefault="0072752E" w:rsidP="0072752E">
      <w:pPr>
        <w:spacing w:before="0" w:after="0"/>
      </w:pPr>
      <w:r>
        <w:t>Probability of Occurrence: The likelihood that a specific event or hazard will occur.</w:t>
      </w:r>
    </w:p>
    <w:p w14:paraId="0A3712B3" w14:textId="77777777" w:rsidR="0072752E" w:rsidRDefault="0072752E" w:rsidP="0072752E">
      <w:pPr>
        <w:spacing w:before="0" w:after="0"/>
      </w:pPr>
      <w:r>
        <w:t>Impact: The magnitude of the consequences if the event or hazard does occur.</w:t>
      </w:r>
    </w:p>
    <w:p w14:paraId="0A3888B6" w14:textId="7DD50064" w:rsidR="00A35102" w:rsidRPr="00A35102" w:rsidRDefault="0072752E" w:rsidP="0072752E">
      <w:r>
        <w:t>The risk assessment combines these two factors to estimate the level of risk associated with a particular situation.</w:t>
      </w:r>
    </w:p>
    <w:p w14:paraId="638F47D6" w14:textId="3172C941" w:rsidR="000E7A62" w:rsidRDefault="000E7A62" w:rsidP="000E7A62">
      <w:pPr>
        <w:pStyle w:val="Heading4"/>
        <w:rPr>
          <w:color w:val="000000" w:themeColor="text1"/>
        </w:rPr>
      </w:pPr>
      <w:r w:rsidRPr="00C22C47">
        <w:rPr>
          <w:color w:val="000000" w:themeColor="text1"/>
        </w:rPr>
        <w:t>Safety of devices and technology</w:t>
      </w:r>
    </w:p>
    <w:p w14:paraId="51BEF507" w14:textId="5D55220D" w:rsidR="005D1687" w:rsidRDefault="005D1687" w:rsidP="005D1687">
      <m:oMath>
        <m:r>
          <w:rPr>
            <w:rFonts w:ascii="Cambria Math" w:hAnsi="Cambria Math"/>
          </w:rPr>
          <m:t xml:space="preserve">Safety Rating = </m:t>
        </m:r>
        <m:d>
          <m:dPr>
            <m:ctrlPr>
              <w:rPr>
                <w:rFonts w:ascii="Cambria Math" w:hAnsi="Cambria Math"/>
                <w:i/>
              </w:rPr>
            </m:ctrlPr>
          </m:dPr>
          <m:e>
            <m:f>
              <m:fPr>
                <m:ctrlPr>
                  <w:rPr>
                    <w:rFonts w:ascii="Cambria Math" w:hAnsi="Cambria Math"/>
                    <w:i/>
                  </w:rPr>
                </m:ctrlPr>
              </m:fPr>
              <m:num>
                <m:r>
                  <w:rPr>
                    <w:rFonts w:ascii="Cambria Math" w:hAnsi="Cambria Math"/>
                  </w:rPr>
                  <m:t>Number of Safety Features</m:t>
                </m:r>
              </m:num>
              <m:den>
                <m:r>
                  <w:rPr>
                    <w:rFonts w:ascii="Cambria Math" w:hAnsi="Cambria Math"/>
                  </w:rPr>
                  <m:t>Total Possible Safety Features</m:t>
                </m:r>
              </m:den>
            </m:f>
          </m:e>
        </m:d>
        <m:r>
          <w:rPr>
            <w:rFonts w:ascii="Cambria Math" w:hAnsi="Cambria Math"/>
          </w:rPr>
          <m:t xml:space="preserve"> × 100</m:t>
        </m:r>
      </m:oMath>
      <w:r>
        <w:rPr>
          <w:rFonts w:eastAsiaTheme="minorEastAsia"/>
        </w:rPr>
        <w:t xml:space="preserve"> </w:t>
      </w:r>
    </w:p>
    <w:p w14:paraId="7925B4F8" w14:textId="25CAE8F5" w:rsidR="005D1687" w:rsidRPr="005D1687" w:rsidRDefault="005D1687" w:rsidP="005D1687">
      <w:r>
        <w:t>This formula calculates the percentage of safety features implemented compared to the total possible safety features available in a device or technology. A higher Safety Rating indicates a safer design.</w:t>
      </w:r>
    </w:p>
    <w:p w14:paraId="0AC3CF16" w14:textId="1B9F90C4" w:rsidR="000E7A62" w:rsidRDefault="000E7A62" w:rsidP="000E7A62">
      <w:pPr>
        <w:pStyle w:val="Heading4"/>
        <w:rPr>
          <w:color w:val="000000" w:themeColor="text1"/>
        </w:rPr>
      </w:pPr>
      <w:r w:rsidRPr="00C22C47">
        <w:rPr>
          <w:color w:val="000000" w:themeColor="text1"/>
        </w:rPr>
        <w:t>Compliance with international obligations</w:t>
      </w:r>
    </w:p>
    <w:p w14:paraId="665A9E64" w14:textId="4A1B564B" w:rsidR="00320654" w:rsidRDefault="00320654" w:rsidP="00320654">
      <m:oMath>
        <m:r>
          <w:rPr>
            <w:rFonts w:ascii="Cambria Math" w:hAnsi="Cambria Math"/>
          </w:rPr>
          <m:t xml:space="preserve">Compliance Rate = </m:t>
        </m:r>
        <m:d>
          <m:dPr>
            <m:ctrlPr>
              <w:rPr>
                <w:rFonts w:ascii="Cambria Math" w:hAnsi="Cambria Math"/>
                <w:i/>
              </w:rPr>
            </m:ctrlPr>
          </m:dPr>
          <m:e>
            <m:f>
              <m:fPr>
                <m:ctrlPr>
                  <w:rPr>
                    <w:rFonts w:ascii="Cambria Math" w:hAnsi="Cambria Math"/>
                    <w:i/>
                  </w:rPr>
                </m:ctrlPr>
              </m:fPr>
              <m:num>
                <m:r>
                  <w:rPr>
                    <w:rFonts w:ascii="Cambria Math" w:hAnsi="Cambria Math"/>
                  </w:rPr>
                  <m:t>Number of Compliant Actions</m:t>
                </m:r>
              </m:num>
              <m:den>
                <m:r>
                  <w:rPr>
                    <w:rFonts w:ascii="Cambria Math" w:hAnsi="Cambria Math"/>
                  </w:rPr>
                  <m:t>Total Actions Required</m:t>
                </m:r>
              </m:den>
            </m:f>
          </m:e>
        </m:d>
        <m:r>
          <w:rPr>
            <w:rFonts w:ascii="Cambria Math" w:hAnsi="Cambria Math"/>
          </w:rPr>
          <m:t xml:space="preserve"> × 100</m:t>
        </m:r>
      </m:oMath>
      <w:r>
        <w:rPr>
          <w:rFonts w:eastAsiaTheme="minorEastAsia"/>
        </w:rPr>
        <w:t xml:space="preserve"> </w:t>
      </w:r>
    </w:p>
    <w:p w14:paraId="3D7B3DBE" w14:textId="77777777" w:rsidR="00320654" w:rsidRDefault="00320654" w:rsidP="00320654"/>
    <w:p w14:paraId="21A25527" w14:textId="3BFC6C94" w:rsidR="005D1687" w:rsidRPr="005D1687" w:rsidRDefault="00320654" w:rsidP="00320654">
      <w:pPr>
        <w:spacing w:before="0"/>
      </w:pPr>
      <w:r>
        <w:t>This formula assesses compliance by calculating the percentage of actions or requirements that have been met in accordance with international obligations.</w:t>
      </w:r>
    </w:p>
    <w:p w14:paraId="14EC3984" w14:textId="538173FD" w:rsidR="000E7A62" w:rsidRPr="00C22C47" w:rsidRDefault="000E7A62" w:rsidP="000E7A62">
      <w:pPr>
        <w:pStyle w:val="Heading4"/>
        <w:rPr>
          <w:color w:val="000000" w:themeColor="text1"/>
        </w:rPr>
      </w:pPr>
      <w:r w:rsidRPr="00C22C47">
        <w:rPr>
          <w:color w:val="000000" w:themeColor="text1"/>
        </w:rPr>
        <w:t>Legal regulation of activities</w:t>
      </w:r>
    </w:p>
    <w:p w14:paraId="2F1819F4" w14:textId="32FC0116" w:rsidR="00672B18" w:rsidRPr="00672B18" w:rsidRDefault="00672B18" w:rsidP="00672B18">
      <w:pPr>
        <w:rPr>
          <w:color w:val="000000" w:themeColor="text1"/>
        </w:rPr>
      </w:pPr>
      <m:oMath>
        <m:r>
          <w:rPr>
            <w:rFonts w:ascii="Cambria Math" w:hAnsi="Cambria Math"/>
            <w:color w:val="000000" w:themeColor="text1"/>
          </w:rPr>
          <m:t xml:space="preserve">Legal Compliance Index =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No. of Legal Compliance Actions</m:t>
                </m:r>
              </m:num>
              <m:den>
                <m:r>
                  <w:rPr>
                    <w:rFonts w:ascii="Cambria Math" w:hAnsi="Cambria Math"/>
                    <w:color w:val="000000" w:themeColor="text1"/>
                  </w:rPr>
                  <m:t>Total Required Legal Compliance Actions</m:t>
                </m:r>
              </m:den>
            </m:f>
          </m:e>
        </m:d>
        <m:r>
          <w:rPr>
            <w:rFonts w:ascii="Cambria Math" w:hAnsi="Cambria Math"/>
            <w:color w:val="000000" w:themeColor="text1"/>
          </w:rPr>
          <m:t xml:space="preserve"> × 100</m:t>
        </m:r>
      </m:oMath>
      <w:r>
        <w:rPr>
          <w:rFonts w:eastAsiaTheme="minorEastAsia"/>
          <w:color w:val="000000" w:themeColor="text1"/>
        </w:rPr>
        <w:t xml:space="preserve"> </w:t>
      </w:r>
    </w:p>
    <w:p w14:paraId="49A9B98C" w14:textId="4AA884E0" w:rsidR="000E7A62" w:rsidRPr="00C22C47" w:rsidRDefault="00672B18" w:rsidP="00672B18">
      <w:pPr>
        <w:rPr>
          <w:color w:val="000000" w:themeColor="text1"/>
        </w:rPr>
      </w:pPr>
      <w:r w:rsidRPr="00672B18">
        <w:rPr>
          <w:color w:val="000000" w:themeColor="text1"/>
        </w:rPr>
        <w:t>This formula quantifies the level of legal compliance by calculating the percentage of actions or activities that adhere to required legal regulations.</w:t>
      </w:r>
    </w:p>
    <w:p w14:paraId="29C3470B" w14:textId="77777777" w:rsidR="000E7A62" w:rsidRPr="00C22C47" w:rsidRDefault="000E7A62" w:rsidP="000E7A62">
      <w:pPr>
        <w:pStyle w:val="Heading3"/>
      </w:pPr>
      <w:bookmarkStart w:id="70" w:name="_Availability_and_Reliability"/>
      <w:bookmarkStart w:id="71" w:name="_Toc146147268"/>
      <w:bookmarkEnd w:id="70"/>
      <w:r w:rsidRPr="00C22C47">
        <w:t>Availability and Reliability</w:t>
      </w:r>
      <w:bookmarkEnd w:id="71"/>
      <w:r w:rsidRPr="00C22C47">
        <w:tab/>
      </w:r>
    </w:p>
    <w:p w14:paraId="45672B1C" w14:textId="0F401DC8" w:rsidR="000E7A62" w:rsidRDefault="000E7A62" w:rsidP="000E7A62">
      <w:pPr>
        <w:pStyle w:val="Heading4"/>
        <w:rPr>
          <w:color w:val="000000" w:themeColor="text1"/>
        </w:rPr>
      </w:pPr>
      <w:r w:rsidRPr="00C22C47">
        <w:rPr>
          <w:color w:val="000000" w:themeColor="text1"/>
        </w:rPr>
        <w:t>Lifetime and reliability of systems</w:t>
      </w:r>
    </w:p>
    <w:p w14:paraId="07CC1A5F" w14:textId="119E5C31" w:rsidR="000D6071" w:rsidRDefault="000D6071" w:rsidP="000D6071">
      <w:r>
        <w:t>Lifetime and reliability assess the durability and dependability of energy systems and technologies.</w:t>
      </w:r>
    </w:p>
    <w:p w14:paraId="3C1C5E69" w14:textId="77777777" w:rsidR="000D6071" w:rsidRDefault="000D6071" w:rsidP="000D6071">
      <w:pPr>
        <w:pStyle w:val="Heading6"/>
      </w:pPr>
      <w:r>
        <w:t>Potential Formula (Lifetime):</w:t>
      </w:r>
    </w:p>
    <w:p w14:paraId="77960538" w14:textId="13BBAE1A" w:rsidR="000D6071" w:rsidRDefault="000D6071" w:rsidP="000D6071">
      <m:oMath>
        <m:r>
          <w:rPr>
            <w:rFonts w:ascii="Cambria Math" w:hAnsi="Cambria Math"/>
          </w:rPr>
          <m:t xml:space="preserve">Average Lifetime </m:t>
        </m:r>
        <m:d>
          <m:dPr>
            <m:ctrlPr>
              <w:rPr>
                <w:rFonts w:ascii="Cambria Math" w:hAnsi="Cambria Math"/>
                <w:i/>
              </w:rPr>
            </m:ctrlPr>
          </m:dPr>
          <m:e>
            <m:r>
              <w:rPr>
                <w:rFonts w:ascii="Cambria Math" w:hAnsi="Cambria Math"/>
              </w:rPr>
              <m:t>years</m:t>
            </m:r>
          </m:e>
        </m:d>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Individual System Lifetimes</m:t>
                </m:r>
              </m:e>
            </m:nary>
          </m:num>
          <m:den>
            <m:r>
              <w:rPr>
                <w:rFonts w:ascii="Cambria Math" w:hAnsi="Cambria Math"/>
              </w:rPr>
              <m:t>Number of Systems</m:t>
            </m:r>
          </m:den>
        </m:f>
      </m:oMath>
      <w:r w:rsidR="00193EB7">
        <w:rPr>
          <w:rFonts w:eastAsiaTheme="minorEastAsia"/>
        </w:rPr>
        <w:t xml:space="preserve"> </w:t>
      </w:r>
    </w:p>
    <w:p w14:paraId="51531FE4" w14:textId="77777777" w:rsidR="000D6071" w:rsidRDefault="000D6071" w:rsidP="000D6071">
      <w:pPr>
        <w:pStyle w:val="Heading6"/>
      </w:pPr>
      <w:r>
        <w:t>Potential Formula (Reliability):</w:t>
      </w:r>
    </w:p>
    <w:p w14:paraId="50AE2922" w14:textId="689ABFC4" w:rsidR="000D6071" w:rsidRDefault="000D6071" w:rsidP="000D6071">
      <m:oMath>
        <m:r>
          <w:rPr>
            <w:rFonts w:ascii="Cambria Math" w:hAnsi="Cambria Math"/>
          </w:rPr>
          <m:t xml:space="preserve">Reliability (%) = </m:t>
        </m:r>
        <m:d>
          <m:dPr>
            <m:ctrlPr>
              <w:rPr>
                <w:rFonts w:ascii="Cambria Math" w:hAnsi="Cambria Math"/>
                <w:i/>
              </w:rPr>
            </m:ctrlPr>
          </m:dPr>
          <m:e>
            <m:f>
              <m:fPr>
                <m:ctrlPr>
                  <w:rPr>
                    <w:rFonts w:ascii="Cambria Math" w:hAnsi="Cambria Math"/>
                    <w:i/>
                  </w:rPr>
                </m:ctrlPr>
              </m:fPr>
              <m:num>
                <m:r>
                  <w:rPr>
                    <w:rFonts w:ascii="Cambria Math" w:hAnsi="Cambria Math"/>
                  </w:rPr>
                  <m:t>Number of Successful System Operations</m:t>
                </m:r>
              </m:num>
              <m:den>
                <m:r>
                  <w:rPr>
                    <w:rFonts w:ascii="Cambria Math" w:hAnsi="Cambria Math"/>
                  </w:rPr>
                  <m:t>Total System Operations</m:t>
                </m:r>
              </m:den>
            </m:f>
          </m:e>
        </m:d>
        <m:r>
          <w:rPr>
            <w:rFonts w:ascii="Cambria Math" w:hAnsi="Cambria Math"/>
          </w:rPr>
          <m:t xml:space="preserve"> × 100</m:t>
        </m:r>
      </m:oMath>
      <w:r w:rsidR="00193EB7">
        <w:rPr>
          <w:rFonts w:eastAsiaTheme="minorEastAsia"/>
        </w:rPr>
        <w:t xml:space="preserve"> </w:t>
      </w:r>
    </w:p>
    <w:p w14:paraId="7FF09276" w14:textId="446CF0AB" w:rsidR="000D6071" w:rsidRPr="000D6071" w:rsidRDefault="000D6071" w:rsidP="000D6071">
      <w:r>
        <w:t>These formulas quantify the average lifetime and reliability of energy systems based on data from multiple systems.</w:t>
      </w:r>
    </w:p>
    <w:p w14:paraId="21EDA6D1" w14:textId="120D6B89" w:rsidR="000E7A62" w:rsidRDefault="000E7A62" w:rsidP="000E7A62">
      <w:pPr>
        <w:pStyle w:val="Heading4"/>
        <w:rPr>
          <w:color w:val="000000" w:themeColor="text1"/>
        </w:rPr>
      </w:pPr>
      <w:r w:rsidRPr="00C22C47">
        <w:rPr>
          <w:color w:val="000000" w:themeColor="text1"/>
        </w:rPr>
        <w:t>Annual resource availability duration</w:t>
      </w:r>
    </w:p>
    <w:p w14:paraId="26DDCAA5" w14:textId="77777777" w:rsidR="006E2CBE" w:rsidRPr="00C22C47" w:rsidRDefault="006E2CBE" w:rsidP="006E2CBE">
      <w:pPr>
        <w:rPr>
          <w:color w:val="000000" w:themeColor="text1"/>
        </w:rPr>
      </w:pPr>
      <w:r w:rsidRPr="00C22C47">
        <w:rPr>
          <w:color w:val="000000" w:themeColor="text1"/>
        </w:rPr>
        <w:t>The formula to calculate the annual resource availability duration can be expressed as:</w:t>
      </w:r>
    </w:p>
    <w:p w14:paraId="49D4E029" w14:textId="59777A7E" w:rsidR="00193EB7" w:rsidRPr="006E2CBE" w:rsidRDefault="006E2CBE" w:rsidP="00193EB7">
      <w:pPr>
        <w:rPr>
          <w:rFonts w:eastAsiaTheme="minorEastAsia"/>
          <w:color w:val="000000" w:themeColor="text1"/>
        </w:rPr>
      </w:pPr>
      <m:oMathPara>
        <m:oMath>
          <m:r>
            <w:rPr>
              <w:rFonts w:ascii="Cambria Math" w:hAnsi="Cambria Math"/>
              <w:color w:val="000000" w:themeColor="text1"/>
            </w:rPr>
            <m:t xml:space="preserve">Annual Resource Availability (%) =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No. of days Resource Available</m:t>
                  </m:r>
                </m:num>
                <m:den>
                  <m:r>
                    <w:rPr>
                      <w:rFonts w:ascii="Cambria Math" w:hAnsi="Cambria Math"/>
                      <w:color w:val="000000" w:themeColor="text1"/>
                    </w:rPr>
                    <m:t>Total No. of Days in a Year</m:t>
                  </m:r>
                </m:den>
              </m:f>
            </m:e>
          </m:d>
          <m:r>
            <w:rPr>
              <w:rFonts w:ascii="Cambria Math" w:hAnsi="Cambria Math"/>
              <w:color w:val="000000" w:themeColor="text1"/>
            </w:rPr>
            <m:t xml:space="preserve"> × 100</m:t>
          </m:r>
        </m:oMath>
      </m:oMathPara>
    </w:p>
    <w:p w14:paraId="35256B01" w14:textId="27E3227D" w:rsidR="000E7A62" w:rsidRDefault="000E7A62" w:rsidP="000E7A62">
      <w:pPr>
        <w:pStyle w:val="Heading4"/>
        <w:rPr>
          <w:color w:val="000000" w:themeColor="text1"/>
        </w:rPr>
      </w:pPr>
      <w:r w:rsidRPr="00C22C47">
        <w:rPr>
          <w:color w:val="000000" w:themeColor="text1"/>
        </w:rPr>
        <w:t>Curtailments / Energy not served</w:t>
      </w:r>
    </w:p>
    <w:p w14:paraId="68E91611" w14:textId="281E44C3" w:rsidR="00836E6E" w:rsidRDefault="00836E6E" w:rsidP="00836E6E">
      <m:oMath>
        <m:r>
          <w:rPr>
            <w:rFonts w:ascii="Cambria Math" w:hAnsi="Cambria Math"/>
          </w:rPr>
          <m:t xml:space="preserve">Curtailment (%) = </m:t>
        </m:r>
        <m:d>
          <m:dPr>
            <m:ctrlPr>
              <w:rPr>
                <w:rFonts w:ascii="Cambria Math" w:hAnsi="Cambria Math"/>
                <w:i/>
              </w:rPr>
            </m:ctrlPr>
          </m:dPr>
          <m:e>
            <m:f>
              <m:fPr>
                <m:ctrlPr>
                  <w:rPr>
                    <w:rFonts w:ascii="Cambria Math" w:hAnsi="Cambria Math"/>
                    <w:i/>
                  </w:rPr>
                </m:ctrlPr>
              </m:fPr>
              <m:num>
                <m:r>
                  <w:rPr>
                    <w:rFonts w:ascii="Cambria Math" w:hAnsi="Cambria Math"/>
                  </w:rPr>
                  <m:t>Amount of Curtailed Energy</m:t>
                </m:r>
              </m:num>
              <m:den>
                <m:r>
                  <w:rPr>
                    <w:rFonts w:ascii="Cambria Math" w:hAnsi="Cambria Math"/>
                  </w:rPr>
                  <m:t>Total Energy Generated</m:t>
                </m:r>
              </m:den>
            </m:f>
          </m:e>
        </m:d>
        <m:r>
          <w:rPr>
            <w:rFonts w:ascii="Cambria Math" w:hAnsi="Cambria Math"/>
          </w:rPr>
          <m:t xml:space="preserve"> × 100</m:t>
        </m:r>
      </m:oMath>
      <w:r>
        <w:rPr>
          <w:rFonts w:eastAsiaTheme="minorEastAsia"/>
        </w:rPr>
        <w:t xml:space="preserve"> </w:t>
      </w:r>
    </w:p>
    <w:p w14:paraId="29AC3F67" w14:textId="51006B35" w:rsidR="006E2CBE" w:rsidRPr="006E2CBE" w:rsidRDefault="00836E6E" w:rsidP="00836E6E">
      <w:r>
        <w:t>This formula calculates the percentage of energy generated but not delivered due to curtailments.</w:t>
      </w:r>
    </w:p>
    <w:p w14:paraId="7786DF59" w14:textId="4FAEE655" w:rsidR="000E7A62" w:rsidRDefault="000E7A62" w:rsidP="000E7A62">
      <w:pPr>
        <w:pStyle w:val="Heading4"/>
        <w:rPr>
          <w:color w:val="000000" w:themeColor="text1"/>
        </w:rPr>
      </w:pPr>
      <w:r w:rsidRPr="00C22C47">
        <w:rPr>
          <w:color w:val="000000" w:themeColor="text1"/>
        </w:rPr>
        <w:t>Weather and climate condition dependence</w:t>
      </w:r>
    </w:p>
    <w:p w14:paraId="1395CDB3" w14:textId="74A6F857" w:rsidR="00696AA4" w:rsidRDefault="00696AA4" w:rsidP="00696AA4">
      <m:oMath>
        <m:r>
          <w:rPr>
            <w:rFonts w:ascii="Cambria Math" w:hAnsi="Cambria Math"/>
          </w:rPr>
          <m:t xml:space="preserve">Weather and Climate Condition Dependence Index = </m:t>
        </m:r>
        <m:d>
          <m:dPr>
            <m:ctrlPr>
              <w:rPr>
                <w:rFonts w:ascii="Cambria Math" w:hAnsi="Cambria Math"/>
                <w:i/>
              </w:rPr>
            </m:ctrlPr>
          </m:dPr>
          <m:e>
            <m:f>
              <m:fPr>
                <m:ctrlPr>
                  <w:rPr>
                    <w:rFonts w:ascii="Cambria Math" w:hAnsi="Cambria Math"/>
                    <w:i/>
                  </w:rPr>
                </m:ctrlPr>
              </m:fPr>
              <m:num>
                <m:r>
                  <w:rPr>
                    <w:rFonts w:ascii="Cambria Math" w:hAnsi="Cambria Math"/>
                  </w:rPr>
                  <m:t>Hours of Ideal Weather Conditions</m:t>
                </m:r>
              </m:num>
              <m:den>
                <m:r>
                  <w:rPr>
                    <w:rFonts w:ascii="Cambria Math" w:hAnsi="Cambria Math"/>
                  </w:rPr>
                  <m:t>Total Hours</m:t>
                </m:r>
              </m:den>
            </m:f>
          </m:e>
        </m:d>
      </m:oMath>
      <w:r>
        <w:rPr>
          <w:rFonts w:eastAsiaTheme="minorEastAsia"/>
        </w:rPr>
        <w:t xml:space="preserve"> </w:t>
      </w:r>
    </w:p>
    <w:p w14:paraId="49E52BF9" w14:textId="75010951" w:rsidR="00836E6E" w:rsidRPr="00836E6E" w:rsidRDefault="00696AA4" w:rsidP="00696AA4">
      <w:r>
        <w:t>This formula calculates an index that quantifies the reliance of energy generation on ideal weather or climatic conditions.</w:t>
      </w:r>
    </w:p>
    <w:p w14:paraId="07DC0B68" w14:textId="03C72B51" w:rsidR="007F46FE" w:rsidRPr="00C22C47" w:rsidRDefault="000E7A62" w:rsidP="000E7A62">
      <w:pPr>
        <w:pStyle w:val="Heading4"/>
        <w:rPr>
          <w:color w:val="000000" w:themeColor="text1"/>
        </w:rPr>
      </w:pPr>
      <w:r w:rsidRPr="00C22C47">
        <w:rPr>
          <w:color w:val="000000" w:themeColor="text1"/>
        </w:rPr>
        <w:t>Availability of primary energy supply</w:t>
      </w:r>
    </w:p>
    <w:p w14:paraId="74CD9269" w14:textId="1B23E8AB" w:rsidR="009155FC" w:rsidRPr="009155FC" w:rsidRDefault="009155FC" w:rsidP="009155FC">
      <w:pPr>
        <w:rPr>
          <w:color w:val="000000" w:themeColor="text1"/>
        </w:rPr>
      </w:pPr>
      <m:oMath>
        <m:r>
          <w:rPr>
            <w:rFonts w:ascii="Cambria Math" w:hAnsi="Cambria Math"/>
            <w:color w:val="000000" w:themeColor="text1"/>
          </w:rPr>
          <m:t xml:space="preserve">Availability Index =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Available Primary Energy Reserves</m:t>
                </m:r>
              </m:num>
              <m:den>
                <m:r>
                  <w:rPr>
                    <w:rFonts w:ascii="Cambria Math" w:hAnsi="Cambria Math"/>
                    <w:color w:val="000000" w:themeColor="text1"/>
                  </w:rPr>
                  <m:t>Annual Primary Energy Consumption</m:t>
                </m:r>
              </m:den>
            </m:f>
          </m:e>
        </m:d>
      </m:oMath>
      <w:r>
        <w:rPr>
          <w:rFonts w:eastAsiaTheme="minorEastAsia"/>
          <w:color w:val="000000" w:themeColor="text1"/>
        </w:rPr>
        <w:t xml:space="preserve"> </w:t>
      </w:r>
    </w:p>
    <w:p w14:paraId="7AE90B39" w14:textId="0D76CDD8" w:rsidR="007F46FE" w:rsidRPr="00C22C47" w:rsidRDefault="009155FC" w:rsidP="009155FC">
      <w:pPr>
        <w:rPr>
          <w:color w:val="000000" w:themeColor="text1"/>
        </w:rPr>
      </w:pPr>
      <w:r w:rsidRPr="009155FC">
        <w:rPr>
          <w:color w:val="000000" w:themeColor="text1"/>
        </w:rPr>
        <w:t>This formula quantifies the availability of primary energy sources relative to their consumption.</w:t>
      </w:r>
    </w:p>
    <w:p w14:paraId="17DE088D" w14:textId="0DCCD18C" w:rsidR="00601C3C" w:rsidRPr="00C22C47" w:rsidRDefault="00601C3C" w:rsidP="00601C3C">
      <w:pPr>
        <w:pStyle w:val="Heading2"/>
      </w:pPr>
      <w:bookmarkStart w:id="72" w:name="_Toc146147269"/>
      <w:r w:rsidRPr="00C22C47">
        <w:t>Social Metric</w:t>
      </w:r>
      <w:bookmarkEnd w:id="72"/>
    </w:p>
    <w:p w14:paraId="13E076FA" w14:textId="77777777" w:rsidR="009155FC" w:rsidRDefault="00795056" w:rsidP="00795056">
      <w:pPr>
        <w:pStyle w:val="Heading3"/>
      </w:pPr>
      <w:bookmarkStart w:id="73" w:name="_Community_Impact"/>
      <w:bookmarkStart w:id="74" w:name="_Toc146147270"/>
      <w:bookmarkEnd w:id="73"/>
      <w:r w:rsidRPr="00C22C47">
        <w:t>Community Impact</w:t>
      </w:r>
      <w:bookmarkEnd w:id="74"/>
      <w:r w:rsidRPr="00C22C47">
        <w:tab/>
      </w:r>
    </w:p>
    <w:p w14:paraId="0030D5FB" w14:textId="4BA1A915" w:rsidR="00795056" w:rsidRDefault="00795056" w:rsidP="009155FC">
      <w:pPr>
        <w:pStyle w:val="Heading4"/>
      </w:pPr>
      <w:r w:rsidRPr="00C22C47">
        <w:t>Social acceptability</w:t>
      </w:r>
    </w:p>
    <w:p w14:paraId="46DB6EA9" w14:textId="29374534" w:rsidR="000E6615" w:rsidRDefault="000E6615" w:rsidP="000E6615">
      <m:oMath>
        <m:r>
          <w:rPr>
            <w:rFonts w:ascii="Cambria Math" w:hAnsi="Cambria Math"/>
          </w:rPr>
          <m:t xml:space="preserve">Social Acceptability Index = </m:t>
        </m:r>
        <m:d>
          <m:dPr>
            <m:ctrlPr>
              <w:rPr>
                <w:rFonts w:ascii="Cambria Math" w:hAnsi="Cambria Math"/>
                <w:i/>
              </w:rPr>
            </m:ctrlPr>
          </m:dPr>
          <m:e>
            <m:f>
              <m:fPr>
                <m:ctrlPr>
                  <w:rPr>
                    <w:rFonts w:ascii="Cambria Math" w:hAnsi="Cambria Math"/>
                    <w:i/>
                  </w:rPr>
                </m:ctrlPr>
              </m:fPr>
              <m:num>
                <m:r>
                  <w:rPr>
                    <w:rFonts w:ascii="Cambria Math" w:hAnsi="Cambria Math"/>
                  </w:rPr>
                  <m:t>Positive Social Responses</m:t>
                </m:r>
              </m:num>
              <m:den>
                <m:r>
                  <w:rPr>
                    <w:rFonts w:ascii="Cambria Math" w:hAnsi="Cambria Math"/>
                  </w:rPr>
                  <m:t>Total Social Responses</m:t>
                </m:r>
              </m:den>
            </m:f>
          </m:e>
        </m:d>
        <m:r>
          <w:rPr>
            <w:rFonts w:ascii="Cambria Math" w:hAnsi="Cambria Math"/>
          </w:rPr>
          <m:t xml:space="preserve"> × 100</m:t>
        </m:r>
      </m:oMath>
      <w:r>
        <w:rPr>
          <w:rFonts w:eastAsiaTheme="minorEastAsia"/>
        </w:rPr>
        <w:t xml:space="preserve"> </w:t>
      </w:r>
    </w:p>
    <w:p w14:paraId="21374B04" w14:textId="6B3113A5" w:rsidR="00A17B40" w:rsidRPr="00A17B40" w:rsidRDefault="000E6615" w:rsidP="000E6615">
      <w:r>
        <w:t>This formula quantifies the level of social acceptability based on the percentage of positive social responses or opinions relative to the total responses.</w:t>
      </w:r>
    </w:p>
    <w:p w14:paraId="6C8DAC69" w14:textId="1FF36DF3" w:rsidR="00795056" w:rsidRDefault="00795056" w:rsidP="00795056">
      <w:pPr>
        <w:pStyle w:val="Heading4"/>
        <w:rPr>
          <w:color w:val="000000" w:themeColor="text1"/>
        </w:rPr>
      </w:pPr>
      <w:r w:rsidRPr="00C22C47">
        <w:rPr>
          <w:color w:val="000000" w:themeColor="text1"/>
        </w:rPr>
        <w:t>Public Acceptance</w:t>
      </w:r>
    </w:p>
    <w:p w14:paraId="49C6992A" w14:textId="6CEB52D4" w:rsidR="000E6615" w:rsidRDefault="000E6615" w:rsidP="000E6615">
      <m:oMath>
        <m:r>
          <w:rPr>
            <w:rFonts w:ascii="Cambria Math" w:hAnsi="Cambria Math"/>
          </w:rPr>
          <m:t xml:space="preserve">Public Acceptance Index = </m:t>
        </m:r>
        <m:d>
          <m:dPr>
            <m:ctrlPr>
              <w:rPr>
                <w:rFonts w:ascii="Cambria Math" w:hAnsi="Cambria Math"/>
                <w:i/>
              </w:rPr>
            </m:ctrlPr>
          </m:dPr>
          <m:e>
            <m:f>
              <m:fPr>
                <m:ctrlPr>
                  <w:rPr>
                    <w:rFonts w:ascii="Cambria Math" w:hAnsi="Cambria Math"/>
                    <w:i/>
                  </w:rPr>
                </m:ctrlPr>
              </m:fPr>
              <m:num>
                <m:r>
                  <w:rPr>
                    <w:rFonts w:ascii="Cambria Math" w:hAnsi="Cambria Math"/>
                  </w:rPr>
                  <m:t>Positive Public Responses</m:t>
                </m:r>
              </m:num>
              <m:den>
                <m:r>
                  <w:rPr>
                    <w:rFonts w:ascii="Cambria Math" w:hAnsi="Cambria Math"/>
                  </w:rPr>
                  <m:t>Total Public Responses</m:t>
                </m:r>
              </m:den>
            </m:f>
          </m:e>
        </m:d>
        <m:r>
          <w:rPr>
            <w:rFonts w:ascii="Cambria Math" w:hAnsi="Cambria Math"/>
          </w:rPr>
          <m:t xml:space="preserve"> × 100</m:t>
        </m:r>
      </m:oMath>
      <w:r>
        <w:rPr>
          <w:rFonts w:eastAsiaTheme="minorEastAsia"/>
        </w:rPr>
        <w:t xml:space="preserve"> </w:t>
      </w:r>
    </w:p>
    <w:p w14:paraId="239C438B" w14:textId="62EEB30D" w:rsidR="000E6615" w:rsidRPr="000E6615" w:rsidRDefault="000E6615" w:rsidP="000E6615">
      <w:r>
        <w:t>This formula quantifies the level of public acceptance based on the percentage of positive public responses relative to the total responses.</w:t>
      </w:r>
    </w:p>
    <w:p w14:paraId="121C3B20" w14:textId="58CDBBD9" w:rsidR="00795056" w:rsidRDefault="00795056" w:rsidP="00795056">
      <w:pPr>
        <w:pStyle w:val="Heading4"/>
        <w:rPr>
          <w:color w:val="000000" w:themeColor="text1"/>
        </w:rPr>
      </w:pPr>
      <w:r w:rsidRPr="00C22C47">
        <w:rPr>
          <w:color w:val="000000" w:themeColor="text1"/>
        </w:rPr>
        <w:t>Cultural Preservation</w:t>
      </w:r>
    </w:p>
    <w:p w14:paraId="2DC5D158" w14:textId="1324D6FD" w:rsidR="00510B75" w:rsidRDefault="00510B75" w:rsidP="00510B75">
      <m:oMath>
        <m:r>
          <w:rPr>
            <w:rFonts w:ascii="Cambria Math" w:hAnsi="Cambria Math"/>
          </w:rPr>
          <m:t xml:space="preserve">Cultural Preservation Index = </m:t>
        </m:r>
        <m:d>
          <m:dPr>
            <m:ctrlPr>
              <w:rPr>
                <w:rFonts w:ascii="Cambria Math" w:hAnsi="Cambria Math"/>
                <w:i/>
              </w:rPr>
            </m:ctrlPr>
          </m:dPr>
          <m:e>
            <m:f>
              <m:fPr>
                <m:ctrlPr>
                  <w:rPr>
                    <w:rFonts w:ascii="Cambria Math" w:hAnsi="Cambria Math"/>
                    <w:i/>
                  </w:rPr>
                </m:ctrlPr>
              </m:fPr>
              <m:num>
                <m:r>
                  <w:rPr>
                    <w:rFonts w:ascii="Cambria Math" w:hAnsi="Cambria Math"/>
                  </w:rPr>
                  <m:t>Preservation Measures Implemented</m:t>
                </m:r>
              </m:num>
              <m:den>
                <m:r>
                  <w:rPr>
                    <w:rFonts w:ascii="Cambria Math" w:hAnsi="Cambria Math"/>
                  </w:rPr>
                  <m:t>Total Cultural Preservation Measures</m:t>
                </m:r>
              </m:den>
            </m:f>
          </m:e>
        </m:d>
        <m:r>
          <w:rPr>
            <w:rFonts w:ascii="Cambria Math" w:hAnsi="Cambria Math"/>
          </w:rPr>
          <m:t xml:space="preserve"> × 100</m:t>
        </m:r>
      </m:oMath>
      <w:r>
        <w:rPr>
          <w:rFonts w:eastAsiaTheme="minorEastAsia"/>
        </w:rPr>
        <w:t xml:space="preserve"> </w:t>
      </w:r>
    </w:p>
    <w:p w14:paraId="09832712" w14:textId="18FCD637" w:rsidR="000E6615" w:rsidRPr="000E6615" w:rsidRDefault="00510B75" w:rsidP="00510B75">
      <w:r>
        <w:t>This formula quantifies the degree of cultural preservation by assessing the percentage of cultural preservation measures that have been implemented.</w:t>
      </w:r>
    </w:p>
    <w:p w14:paraId="6014E99A" w14:textId="67AC52FD" w:rsidR="00795056" w:rsidRDefault="00795056" w:rsidP="00795056">
      <w:pPr>
        <w:pStyle w:val="Heading4"/>
        <w:rPr>
          <w:color w:val="000000" w:themeColor="text1"/>
        </w:rPr>
      </w:pPr>
      <w:r w:rsidRPr="00C22C47">
        <w:rPr>
          <w:color w:val="000000" w:themeColor="text1"/>
        </w:rPr>
        <w:t>Conflict with other applications</w:t>
      </w:r>
    </w:p>
    <w:p w14:paraId="52779EBC" w14:textId="1A9D245B" w:rsidR="00510B75" w:rsidRDefault="00510B75" w:rsidP="00510B75">
      <m:oMath>
        <m:r>
          <w:rPr>
            <w:rFonts w:ascii="Cambria Math" w:hAnsi="Cambria Math"/>
          </w:rPr>
          <m:t xml:space="preserve">Conflict Index = </m:t>
        </m:r>
        <m:d>
          <m:dPr>
            <m:ctrlPr>
              <w:rPr>
                <w:rFonts w:ascii="Cambria Math" w:hAnsi="Cambria Math"/>
                <w:i/>
              </w:rPr>
            </m:ctrlPr>
          </m:dPr>
          <m:e>
            <m:f>
              <m:fPr>
                <m:ctrlPr>
                  <w:rPr>
                    <w:rFonts w:ascii="Cambria Math" w:hAnsi="Cambria Math"/>
                    <w:i/>
                  </w:rPr>
                </m:ctrlPr>
              </m:fPr>
              <m:num>
                <m:r>
                  <w:rPr>
                    <w:rFonts w:ascii="Cambria Math" w:hAnsi="Cambria Math"/>
                  </w:rPr>
                  <m:t>Number of Conflicts Identified</m:t>
                </m:r>
              </m:num>
              <m:den>
                <m:r>
                  <w:rPr>
                    <w:rFonts w:ascii="Cambria Math" w:hAnsi="Cambria Math"/>
                  </w:rPr>
                  <m:t>Total Number of Potential Conflicts</m:t>
                </m:r>
              </m:den>
            </m:f>
          </m:e>
        </m:d>
        <m:r>
          <w:rPr>
            <w:rFonts w:ascii="Cambria Math" w:hAnsi="Cambria Math"/>
          </w:rPr>
          <m:t xml:space="preserve"> × 100</m:t>
        </m:r>
      </m:oMath>
      <w:r>
        <w:rPr>
          <w:rFonts w:eastAsiaTheme="minorEastAsia"/>
        </w:rPr>
        <w:t xml:space="preserve"> </w:t>
      </w:r>
    </w:p>
    <w:p w14:paraId="1DC4B5AC" w14:textId="52116458" w:rsidR="000E6615" w:rsidRPr="000E6615" w:rsidRDefault="00510B75" w:rsidP="00510B75">
      <w:r>
        <w:t>This formula quantifies the level of conflict by calculating the percentage of identified conflicts relative to the total potential conflicts.</w:t>
      </w:r>
    </w:p>
    <w:p w14:paraId="1D52B4E1" w14:textId="58F8A7F9" w:rsidR="00795056" w:rsidRPr="00C22C47" w:rsidRDefault="00795056" w:rsidP="00795056">
      <w:pPr>
        <w:pStyle w:val="Heading4"/>
        <w:rPr>
          <w:color w:val="000000" w:themeColor="text1"/>
        </w:rPr>
      </w:pPr>
      <w:r w:rsidRPr="00C22C47">
        <w:rPr>
          <w:color w:val="000000" w:themeColor="text1"/>
        </w:rPr>
        <w:t>Negative Community Impacts</w:t>
      </w:r>
    </w:p>
    <w:p w14:paraId="7204EB86" w14:textId="6B2C3C9C" w:rsidR="00226BBD" w:rsidRPr="00226BBD" w:rsidRDefault="00226BBD" w:rsidP="00226BBD">
      <w:pPr>
        <w:rPr>
          <w:color w:val="000000" w:themeColor="text1"/>
        </w:rPr>
      </w:pPr>
      <m:oMath>
        <m:r>
          <w:rPr>
            <w:rFonts w:ascii="Cambria Math" w:hAnsi="Cambria Math"/>
            <w:color w:val="000000" w:themeColor="text1"/>
          </w:rPr>
          <m:t xml:space="preserve">Negative Community Impact Index =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Number of Negative Impacts</m:t>
                </m:r>
              </m:num>
              <m:den>
                <m:r>
                  <w:rPr>
                    <w:rFonts w:ascii="Cambria Math" w:hAnsi="Cambria Math"/>
                    <w:color w:val="000000" w:themeColor="text1"/>
                  </w:rPr>
                  <m:t>Total Impacts Evaluated</m:t>
                </m:r>
              </m:den>
            </m:f>
          </m:e>
        </m:d>
        <m:r>
          <w:rPr>
            <w:rFonts w:ascii="Cambria Math" w:hAnsi="Cambria Math"/>
            <w:color w:val="000000" w:themeColor="text1"/>
          </w:rPr>
          <m:t xml:space="preserve"> × 100</m:t>
        </m:r>
      </m:oMath>
      <w:r>
        <w:rPr>
          <w:rFonts w:eastAsiaTheme="minorEastAsia"/>
          <w:color w:val="000000" w:themeColor="text1"/>
        </w:rPr>
        <w:t xml:space="preserve"> </w:t>
      </w:r>
    </w:p>
    <w:p w14:paraId="02AEC8FD" w14:textId="41CC754E" w:rsidR="00795056" w:rsidRPr="00C22C47" w:rsidRDefault="00226BBD" w:rsidP="00226BBD">
      <w:pPr>
        <w:rPr>
          <w:color w:val="000000" w:themeColor="text1"/>
        </w:rPr>
      </w:pPr>
      <w:r w:rsidRPr="00226BBD">
        <w:rPr>
          <w:color w:val="000000" w:themeColor="text1"/>
        </w:rPr>
        <w:t>This formula quantifies the level of negative community impacts by calculating the percentage of negative impacts relative to the total impacts assessed.</w:t>
      </w:r>
    </w:p>
    <w:p w14:paraId="195BA752" w14:textId="77777777" w:rsidR="00A17B40" w:rsidRDefault="00795056" w:rsidP="00795056">
      <w:pPr>
        <w:pStyle w:val="Heading3"/>
      </w:pPr>
      <w:bookmarkStart w:id="75" w:name="_Workforce_Development"/>
      <w:bookmarkStart w:id="76" w:name="_Toc146147271"/>
      <w:bookmarkEnd w:id="75"/>
      <w:r w:rsidRPr="00C22C47">
        <w:t>Workforce Development</w:t>
      </w:r>
      <w:bookmarkEnd w:id="76"/>
      <w:r w:rsidRPr="00C22C47">
        <w:tab/>
      </w:r>
    </w:p>
    <w:p w14:paraId="08F1DFDA" w14:textId="78275E5A" w:rsidR="00795056" w:rsidRDefault="00795056" w:rsidP="00A17B40">
      <w:pPr>
        <w:pStyle w:val="Heading4"/>
      </w:pPr>
      <w:r w:rsidRPr="00C22C47">
        <w:t>Job creation</w:t>
      </w:r>
    </w:p>
    <w:p w14:paraId="165AA4D0" w14:textId="32878A5D" w:rsidR="00EB4D9D" w:rsidRDefault="00EB4D9D" w:rsidP="00EB4D9D">
      <m:oMath>
        <m:r>
          <w:rPr>
            <w:rFonts w:ascii="Cambria Math" w:hAnsi="Cambria Math"/>
          </w:rPr>
          <m:t xml:space="preserve">Job Creation Index = </m:t>
        </m:r>
        <m:d>
          <m:dPr>
            <m:ctrlPr>
              <w:rPr>
                <w:rFonts w:ascii="Cambria Math" w:hAnsi="Cambria Math"/>
                <w:i/>
              </w:rPr>
            </m:ctrlPr>
          </m:dPr>
          <m:e>
            <m:f>
              <m:fPr>
                <m:ctrlPr>
                  <w:rPr>
                    <w:rFonts w:ascii="Cambria Math" w:hAnsi="Cambria Math"/>
                    <w:i/>
                  </w:rPr>
                </m:ctrlPr>
              </m:fPr>
              <m:num>
                <m:r>
                  <w:rPr>
                    <w:rFonts w:ascii="Cambria Math" w:hAnsi="Cambria Math"/>
                  </w:rPr>
                  <m:t>Number of Jobs Created</m:t>
                </m:r>
              </m:num>
              <m:den>
                <m:r>
                  <w:rPr>
                    <w:rFonts w:ascii="Cambria Math" w:hAnsi="Cambria Math"/>
                  </w:rPr>
                  <m:t>Total Project Workforce</m:t>
                </m:r>
              </m:den>
            </m:f>
          </m:e>
        </m:d>
        <m:r>
          <w:rPr>
            <w:rFonts w:ascii="Cambria Math" w:hAnsi="Cambria Math"/>
          </w:rPr>
          <m:t xml:space="preserve"> × 100</m:t>
        </m:r>
      </m:oMath>
      <w:r>
        <w:rPr>
          <w:rFonts w:eastAsiaTheme="minorEastAsia"/>
        </w:rPr>
        <w:t xml:space="preserve"> </w:t>
      </w:r>
    </w:p>
    <w:p w14:paraId="6A769B20" w14:textId="2E717DC1" w:rsidR="00226BBD" w:rsidRPr="00226BBD" w:rsidRDefault="00EB4D9D" w:rsidP="00EB4D9D">
      <w:r>
        <w:t>This formula quantifies the impact on job creation by calculating the percentage of jobs created relative to the total project workforce.</w:t>
      </w:r>
    </w:p>
    <w:p w14:paraId="422565F1" w14:textId="5650E328" w:rsidR="00795056" w:rsidRDefault="00795056" w:rsidP="00795056">
      <w:pPr>
        <w:pStyle w:val="Heading4"/>
        <w:rPr>
          <w:color w:val="000000" w:themeColor="text1"/>
        </w:rPr>
      </w:pPr>
      <w:r w:rsidRPr="00C22C47">
        <w:rPr>
          <w:color w:val="000000" w:themeColor="text1"/>
        </w:rPr>
        <w:t>Education Opportunities</w:t>
      </w:r>
    </w:p>
    <w:p w14:paraId="598BB905" w14:textId="3E401875" w:rsidR="007C5ACC" w:rsidRDefault="007C5ACC" w:rsidP="007C5ACC">
      <m:oMath>
        <m:r>
          <w:rPr>
            <w:rFonts w:ascii="Cambria Math" w:hAnsi="Cambria Math"/>
          </w:rPr>
          <m:t xml:space="preserve">Education Opportunities Index = </m:t>
        </m:r>
        <m:d>
          <m:dPr>
            <m:ctrlPr>
              <w:rPr>
                <w:rFonts w:ascii="Cambria Math" w:hAnsi="Cambria Math"/>
                <w:i/>
              </w:rPr>
            </m:ctrlPr>
          </m:dPr>
          <m:e>
            <m:f>
              <m:fPr>
                <m:ctrlPr>
                  <w:rPr>
                    <w:rFonts w:ascii="Cambria Math" w:hAnsi="Cambria Math"/>
                    <w:i/>
                  </w:rPr>
                </m:ctrlPr>
              </m:fPr>
              <m:num>
                <m:r>
                  <w:rPr>
                    <w:rFonts w:ascii="Cambria Math" w:hAnsi="Cambria Math"/>
                  </w:rPr>
                  <m:t>Number of Educational Opportunities</m:t>
                </m:r>
              </m:num>
              <m:den>
                <m:r>
                  <w:rPr>
                    <w:rFonts w:ascii="Cambria Math" w:hAnsi="Cambria Math"/>
                  </w:rPr>
                  <m:t>Total Opportunities Offered</m:t>
                </m:r>
              </m:den>
            </m:f>
          </m:e>
        </m:d>
        <m:r>
          <w:rPr>
            <w:rFonts w:ascii="Cambria Math" w:hAnsi="Cambria Math"/>
          </w:rPr>
          <m:t xml:space="preserve"> × 100</m:t>
        </m:r>
      </m:oMath>
      <w:r>
        <w:rPr>
          <w:rFonts w:eastAsiaTheme="minorEastAsia"/>
        </w:rPr>
        <w:t xml:space="preserve"> </w:t>
      </w:r>
    </w:p>
    <w:p w14:paraId="1CFE1919" w14:textId="6045E79B" w:rsidR="00EB4D9D" w:rsidRPr="00EB4D9D" w:rsidRDefault="007C5ACC" w:rsidP="007C5ACC">
      <w:r>
        <w:t>This formula quantifies the availability of education opportunities by calculating the percentage of educational opportunities relative to the total opportunities offered.</w:t>
      </w:r>
    </w:p>
    <w:p w14:paraId="2FC4ADC9" w14:textId="3742DCAF" w:rsidR="00795056" w:rsidRDefault="00795056" w:rsidP="00795056">
      <w:pPr>
        <w:pStyle w:val="Heading4"/>
        <w:rPr>
          <w:color w:val="000000" w:themeColor="text1"/>
        </w:rPr>
      </w:pPr>
      <w:r w:rsidRPr="00C22C47">
        <w:rPr>
          <w:color w:val="000000" w:themeColor="text1"/>
        </w:rPr>
        <w:t>Training Opportunities</w:t>
      </w:r>
    </w:p>
    <w:p w14:paraId="37FBFF4E" w14:textId="50531936" w:rsidR="00D7585B" w:rsidRDefault="00D7585B" w:rsidP="00D7585B">
      <m:oMath>
        <m:r>
          <w:rPr>
            <w:rFonts w:ascii="Cambria Math" w:hAnsi="Cambria Math"/>
          </w:rPr>
          <m:t xml:space="preserve">Training Opportunities Index = </m:t>
        </m:r>
        <m:d>
          <m:dPr>
            <m:ctrlPr>
              <w:rPr>
                <w:rFonts w:ascii="Cambria Math" w:hAnsi="Cambria Math"/>
                <w:i/>
              </w:rPr>
            </m:ctrlPr>
          </m:dPr>
          <m:e>
            <m:f>
              <m:fPr>
                <m:ctrlPr>
                  <w:rPr>
                    <w:rFonts w:ascii="Cambria Math" w:hAnsi="Cambria Math"/>
                    <w:i/>
                  </w:rPr>
                </m:ctrlPr>
              </m:fPr>
              <m:num>
                <m:r>
                  <w:rPr>
                    <w:rFonts w:ascii="Cambria Math" w:hAnsi="Cambria Math"/>
                  </w:rPr>
                  <m:t>Number of Training Opportunities</m:t>
                </m:r>
              </m:num>
              <m:den>
                <m:r>
                  <w:rPr>
                    <w:rFonts w:ascii="Cambria Math" w:hAnsi="Cambria Math"/>
                  </w:rPr>
                  <m:t>Total Opportunities Offered</m:t>
                </m:r>
              </m:den>
            </m:f>
          </m:e>
        </m:d>
        <m:r>
          <w:rPr>
            <w:rFonts w:ascii="Cambria Math" w:hAnsi="Cambria Math"/>
          </w:rPr>
          <m:t xml:space="preserve"> × 100</m:t>
        </m:r>
      </m:oMath>
      <w:r>
        <w:rPr>
          <w:rFonts w:eastAsiaTheme="minorEastAsia"/>
        </w:rPr>
        <w:t xml:space="preserve"> </w:t>
      </w:r>
    </w:p>
    <w:p w14:paraId="668DAD22" w14:textId="597E2D53" w:rsidR="00EB4D9D" w:rsidRPr="00EB4D9D" w:rsidRDefault="00D7585B" w:rsidP="00D7585B">
      <w:r>
        <w:t>This formula quantifies the availability of training opportunities by calculating the percentage of training opportunities relative to the total opportunities offered.</w:t>
      </w:r>
    </w:p>
    <w:p w14:paraId="274BCCB1" w14:textId="1B18FF7E" w:rsidR="00795056" w:rsidRDefault="00795056" w:rsidP="00795056">
      <w:pPr>
        <w:pStyle w:val="Heading4"/>
        <w:rPr>
          <w:color w:val="000000" w:themeColor="text1"/>
        </w:rPr>
      </w:pPr>
      <w:r w:rsidRPr="00C22C47">
        <w:rPr>
          <w:color w:val="000000" w:themeColor="text1"/>
        </w:rPr>
        <w:t>Workplace practices</w:t>
      </w:r>
    </w:p>
    <w:p w14:paraId="0E7F4839" w14:textId="75F68B85" w:rsidR="00B465D6" w:rsidRDefault="00B465D6" w:rsidP="00B465D6">
      <m:oMath>
        <m:r>
          <w:rPr>
            <w:rFonts w:ascii="Cambria Math" w:hAnsi="Cambria Math"/>
          </w:rPr>
          <m:t xml:space="preserve">Workplace Practices Index = </m:t>
        </m:r>
        <m:d>
          <m:dPr>
            <m:ctrlPr>
              <w:rPr>
                <w:rFonts w:ascii="Cambria Math" w:hAnsi="Cambria Math"/>
                <w:i/>
              </w:rPr>
            </m:ctrlPr>
          </m:dPr>
          <m:e>
            <m:f>
              <m:fPr>
                <m:ctrlPr>
                  <w:rPr>
                    <w:rFonts w:ascii="Cambria Math" w:hAnsi="Cambria Math"/>
                    <w:i/>
                  </w:rPr>
                </m:ctrlPr>
              </m:fPr>
              <m:num>
                <m:r>
                  <w:rPr>
                    <w:rFonts w:ascii="Cambria Math" w:hAnsi="Cambria Math"/>
                  </w:rPr>
                  <m:t>Number of Positive Workplace Practices</m:t>
                </m:r>
              </m:num>
              <m:den>
                <m:r>
                  <w:rPr>
                    <w:rFonts w:ascii="Cambria Math" w:hAnsi="Cambria Math"/>
                  </w:rPr>
                  <m:t>Total Workplace Practices Evaluated</m:t>
                </m:r>
              </m:den>
            </m:f>
          </m:e>
        </m:d>
        <m:r>
          <w:rPr>
            <w:rFonts w:ascii="Cambria Math" w:hAnsi="Cambria Math"/>
          </w:rPr>
          <m:t xml:space="preserve"> × 100</m:t>
        </m:r>
      </m:oMath>
      <w:r>
        <w:rPr>
          <w:rFonts w:eastAsiaTheme="minorEastAsia"/>
        </w:rPr>
        <w:t xml:space="preserve"> </w:t>
      </w:r>
    </w:p>
    <w:p w14:paraId="4E5507A0" w14:textId="44025DF1" w:rsidR="00EB4D9D" w:rsidRPr="00EB4D9D" w:rsidRDefault="00B465D6" w:rsidP="00B465D6">
      <w:r>
        <w:t>This formula quantifies the level of positive workplace practices by calculating the percentage of positive practices relative to the total practices evaluated.</w:t>
      </w:r>
    </w:p>
    <w:p w14:paraId="21F85F85" w14:textId="290E370D" w:rsidR="00795056" w:rsidRPr="00C22C47" w:rsidRDefault="00795056" w:rsidP="00795056">
      <w:pPr>
        <w:pStyle w:val="Heading4"/>
        <w:rPr>
          <w:color w:val="000000" w:themeColor="text1"/>
        </w:rPr>
      </w:pPr>
      <w:r w:rsidRPr="00C22C47">
        <w:rPr>
          <w:color w:val="000000" w:themeColor="text1"/>
        </w:rPr>
        <w:t>Gender Impact</w:t>
      </w:r>
    </w:p>
    <w:p w14:paraId="0C935D6B" w14:textId="3CFA34D0" w:rsidR="002018AF" w:rsidRDefault="002018AF" w:rsidP="002018AF">
      <w:pPr>
        <w:rPr>
          <w:color w:val="000000" w:themeColor="text1"/>
        </w:rPr>
      </w:pPr>
      <w:r w:rsidRPr="002018AF">
        <w:rPr>
          <w:color w:val="000000" w:themeColor="text1"/>
        </w:rPr>
        <w:t>Gender impact assesses how an energy project or technology affects gender equality and the inclusion of women in various aspects of the project.</w:t>
      </w:r>
    </w:p>
    <w:p w14:paraId="3C9A3875" w14:textId="0BABDC63" w:rsidR="002018AF" w:rsidRPr="002018AF" w:rsidRDefault="002018AF" w:rsidP="002018AF">
      <w:pPr>
        <w:rPr>
          <w:color w:val="000000" w:themeColor="text1"/>
        </w:rPr>
      </w:pPr>
      <m:oMath>
        <m:r>
          <w:rPr>
            <w:rFonts w:ascii="Cambria Math" w:hAnsi="Cambria Math"/>
            <w:color w:val="000000" w:themeColor="text1"/>
          </w:rPr>
          <m:t xml:space="preserve">Gender Impact Index =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Positive Gender Impact Indicators</m:t>
                </m:r>
              </m:num>
              <m:den>
                <m:r>
                  <w:rPr>
                    <w:rFonts w:ascii="Cambria Math" w:hAnsi="Cambria Math"/>
                    <w:color w:val="000000" w:themeColor="text1"/>
                  </w:rPr>
                  <m:t>Total Gender Impact Indicators</m:t>
                </m:r>
              </m:den>
            </m:f>
          </m:e>
        </m:d>
        <m:r>
          <w:rPr>
            <w:rFonts w:ascii="Cambria Math" w:hAnsi="Cambria Math"/>
            <w:color w:val="000000" w:themeColor="text1"/>
          </w:rPr>
          <m:t>× 100</m:t>
        </m:r>
      </m:oMath>
      <w:r>
        <w:rPr>
          <w:rFonts w:eastAsiaTheme="minorEastAsia"/>
          <w:color w:val="000000" w:themeColor="text1"/>
        </w:rPr>
        <w:t xml:space="preserve"> </w:t>
      </w:r>
    </w:p>
    <w:p w14:paraId="313CC38D" w14:textId="0374A2F8" w:rsidR="00795056" w:rsidRPr="00C22C47" w:rsidRDefault="002018AF" w:rsidP="002018AF">
      <w:pPr>
        <w:rPr>
          <w:color w:val="000000" w:themeColor="text1"/>
        </w:rPr>
      </w:pPr>
      <w:r w:rsidRPr="002018AF">
        <w:rPr>
          <w:color w:val="000000" w:themeColor="text1"/>
        </w:rPr>
        <w:t>This formula quantifies the gender impact by calculating the percentage of positive gender impact indicators relative to the total indicators evaluated.</w:t>
      </w:r>
    </w:p>
    <w:p w14:paraId="64DF58DF" w14:textId="77777777" w:rsidR="00A17B40" w:rsidRDefault="00795056" w:rsidP="00795056">
      <w:pPr>
        <w:pStyle w:val="Heading3"/>
      </w:pPr>
      <w:bookmarkStart w:id="77" w:name="_Health_and_Safety"/>
      <w:bookmarkStart w:id="78" w:name="_Toc146147272"/>
      <w:bookmarkEnd w:id="77"/>
      <w:r w:rsidRPr="00C22C47">
        <w:t>Health and Safety</w:t>
      </w:r>
      <w:bookmarkEnd w:id="78"/>
      <w:r w:rsidRPr="00C22C47">
        <w:tab/>
      </w:r>
    </w:p>
    <w:p w14:paraId="50753427" w14:textId="2162C2FE" w:rsidR="00795056" w:rsidRDefault="00795056" w:rsidP="00A17B40">
      <w:pPr>
        <w:pStyle w:val="Heading4"/>
      </w:pPr>
      <w:r w:rsidRPr="00C22C47">
        <w:t>Health Impact</w:t>
      </w:r>
    </w:p>
    <w:p w14:paraId="09EE5F20" w14:textId="29FC66BA" w:rsidR="00483A79" w:rsidRDefault="00483A79" w:rsidP="00483A79">
      <w:r>
        <w:t>Health impact assesses the effects of an energy project or technology on the physical and mental well-being of individuals and communities.</w:t>
      </w:r>
    </w:p>
    <w:p w14:paraId="5387BB62" w14:textId="31658087" w:rsidR="00483A79" w:rsidRDefault="00483A79" w:rsidP="00483A79">
      <m:oMath>
        <m:r>
          <w:rPr>
            <w:rFonts w:ascii="Cambria Math" w:hAnsi="Cambria Math"/>
          </w:rPr>
          <m:t xml:space="preserve">Health Impact Index = </m:t>
        </m:r>
        <m:d>
          <m:dPr>
            <m:ctrlPr>
              <w:rPr>
                <w:rFonts w:ascii="Cambria Math" w:hAnsi="Cambria Math"/>
                <w:i/>
              </w:rPr>
            </m:ctrlPr>
          </m:dPr>
          <m:e>
            <m:f>
              <m:fPr>
                <m:ctrlPr>
                  <w:rPr>
                    <w:rFonts w:ascii="Cambria Math" w:hAnsi="Cambria Math"/>
                    <w:i/>
                  </w:rPr>
                </m:ctrlPr>
              </m:fPr>
              <m:num>
                <m:r>
                  <w:rPr>
                    <w:rFonts w:ascii="Cambria Math" w:hAnsi="Cambria Math"/>
                  </w:rPr>
                  <m:t>Number of Positive Health Impact Indicators</m:t>
                </m:r>
              </m:num>
              <m:den>
                <m:r>
                  <w:rPr>
                    <w:rFonts w:ascii="Cambria Math" w:hAnsi="Cambria Math"/>
                  </w:rPr>
                  <m:t>Total Health Impact Indicators</m:t>
                </m:r>
              </m:den>
            </m:f>
          </m:e>
        </m:d>
        <m:r>
          <w:rPr>
            <w:rFonts w:ascii="Cambria Math" w:hAnsi="Cambria Math"/>
          </w:rPr>
          <m:t xml:space="preserve"> × 100</m:t>
        </m:r>
      </m:oMath>
      <w:r w:rsidR="00CF2E23">
        <w:rPr>
          <w:rFonts w:eastAsiaTheme="minorEastAsia"/>
        </w:rPr>
        <w:t xml:space="preserve"> </w:t>
      </w:r>
    </w:p>
    <w:p w14:paraId="39B942C2" w14:textId="192C810F" w:rsidR="002018AF" w:rsidRPr="002018AF" w:rsidRDefault="00483A79" w:rsidP="00483A79">
      <w:r>
        <w:t>This formula quantifies the health impact by calculating the percentage of positive health impact indicators relative to the total indicators evaluated.</w:t>
      </w:r>
    </w:p>
    <w:p w14:paraId="3B5E96E8" w14:textId="464FB58B" w:rsidR="00795056" w:rsidRDefault="00795056" w:rsidP="00795056">
      <w:pPr>
        <w:pStyle w:val="Heading4"/>
        <w:rPr>
          <w:color w:val="000000" w:themeColor="text1"/>
        </w:rPr>
      </w:pPr>
      <w:r w:rsidRPr="00C22C47">
        <w:rPr>
          <w:color w:val="000000" w:themeColor="text1"/>
        </w:rPr>
        <w:t>Safety &amp; Security</w:t>
      </w:r>
    </w:p>
    <w:p w14:paraId="6A016D46" w14:textId="4C8FD29E" w:rsidR="00B86ED6" w:rsidRPr="00B86ED6" w:rsidRDefault="00B86ED6" w:rsidP="00B86ED6">
      <w:pPr>
        <w:rPr>
          <w:rFonts w:eastAsiaTheme="minorEastAsia"/>
        </w:rPr>
      </w:pPr>
      <m:oMath>
        <m:r>
          <w:rPr>
            <w:rFonts w:ascii="Cambria Math" w:hAnsi="Cambria Math"/>
          </w:rPr>
          <m:t xml:space="preserve">Safety &amp; Security Index = </m:t>
        </m:r>
        <m:d>
          <m:dPr>
            <m:ctrlPr>
              <w:rPr>
                <w:rFonts w:ascii="Cambria Math" w:hAnsi="Cambria Math"/>
                <w:i/>
              </w:rPr>
            </m:ctrlPr>
          </m:dPr>
          <m:e>
            <m:f>
              <m:fPr>
                <m:ctrlPr>
                  <w:rPr>
                    <w:rFonts w:ascii="Cambria Math" w:hAnsi="Cambria Math"/>
                    <w:i/>
                  </w:rPr>
                </m:ctrlPr>
              </m:fPr>
              <m:num>
                <m:r>
                  <w:rPr>
                    <w:rFonts w:ascii="Cambria Math" w:hAnsi="Cambria Math"/>
                  </w:rPr>
                  <m:t>Number of Positive Safety &amp; Security Indicators</m:t>
                </m:r>
              </m:num>
              <m:den>
                <m:r>
                  <w:rPr>
                    <w:rFonts w:ascii="Cambria Math" w:hAnsi="Cambria Math"/>
                  </w:rPr>
                  <m:t>Total Safety &amp; Security Indicators</m:t>
                </m:r>
              </m:den>
            </m:f>
          </m:e>
        </m:d>
        <m:r>
          <w:rPr>
            <w:rFonts w:ascii="Cambria Math" w:hAnsi="Cambria Math"/>
          </w:rPr>
          <m:t xml:space="preserve"> × 100</m:t>
        </m:r>
      </m:oMath>
      <w:r>
        <w:rPr>
          <w:rFonts w:eastAsiaTheme="minorEastAsia"/>
        </w:rPr>
        <w:t xml:space="preserve"> </w:t>
      </w:r>
    </w:p>
    <w:p w14:paraId="154B8B93" w14:textId="53CA0001" w:rsidR="00CF2E23" w:rsidRPr="00CF2E23" w:rsidRDefault="00B86ED6" w:rsidP="00B86ED6">
      <w:r>
        <w:t>This formula quantifies safety and security by calculating the percentage of positive safety and security indicators relative to the total indicators evaluated.</w:t>
      </w:r>
    </w:p>
    <w:p w14:paraId="36D01AD9" w14:textId="7AF4667E" w:rsidR="00795056" w:rsidRDefault="00795056" w:rsidP="00795056">
      <w:pPr>
        <w:pStyle w:val="Heading4"/>
        <w:rPr>
          <w:color w:val="000000" w:themeColor="text1"/>
        </w:rPr>
      </w:pPr>
      <w:r w:rsidRPr="00C22C47">
        <w:rPr>
          <w:color w:val="000000" w:themeColor="text1"/>
        </w:rPr>
        <w:t>Work Injuries</w:t>
      </w:r>
    </w:p>
    <w:p w14:paraId="50585C73" w14:textId="649E9DD0" w:rsidR="00E54C4E" w:rsidRDefault="00E54C4E" w:rsidP="00E54C4E">
      <m:oMath>
        <m:r>
          <w:rPr>
            <w:rFonts w:ascii="Cambria Math" w:hAnsi="Cambria Math"/>
          </w:rPr>
          <m:t xml:space="preserve">Work Injury Rate = </m:t>
        </m:r>
        <m:d>
          <m:dPr>
            <m:ctrlPr>
              <w:rPr>
                <w:rFonts w:ascii="Cambria Math" w:hAnsi="Cambria Math"/>
                <w:i/>
              </w:rPr>
            </m:ctrlPr>
          </m:dPr>
          <m:e>
            <m:f>
              <m:fPr>
                <m:ctrlPr>
                  <w:rPr>
                    <w:rFonts w:ascii="Cambria Math" w:hAnsi="Cambria Math"/>
                    <w:i/>
                  </w:rPr>
                </m:ctrlPr>
              </m:fPr>
              <m:num>
                <m:r>
                  <w:rPr>
                    <w:rFonts w:ascii="Cambria Math" w:hAnsi="Cambria Math"/>
                  </w:rPr>
                  <m:t>Number of Work Injuries</m:t>
                </m:r>
              </m:num>
              <m:den>
                <m:r>
                  <w:rPr>
                    <w:rFonts w:ascii="Cambria Math" w:hAnsi="Cambria Math"/>
                  </w:rPr>
                  <m:t>Total Work Hours</m:t>
                </m:r>
              </m:den>
            </m:f>
          </m:e>
        </m:d>
        <m:r>
          <w:rPr>
            <w:rFonts w:ascii="Cambria Math" w:hAnsi="Cambria Math"/>
          </w:rPr>
          <m:t xml:space="preserve"> × 1000</m:t>
        </m:r>
      </m:oMath>
      <w:r>
        <w:rPr>
          <w:rFonts w:eastAsiaTheme="minorEastAsia"/>
        </w:rPr>
        <w:t xml:space="preserve"> </w:t>
      </w:r>
    </w:p>
    <w:p w14:paraId="5F857E5C" w14:textId="68DF7BEB" w:rsidR="00B86ED6" w:rsidRPr="00B86ED6" w:rsidRDefault="00E54C4E" w:rsidP="00E54C4E">
      <w:r>
        <w:t>This formula calculates the work injury rate per 1,000 work hours, providing a standardized measure of injuries.</w:t>
      </w:r>
    </w:p>
    <w:p w14:paraId="68A2C521" w14:textId="0D0CD72E" w:rsidR="00795056" w:rsidRDefault="00795056" w:rsidP="00795056">
      <w:pPr>
        <w:pStyle w:val="Heading4"/>
        <w:rPr>
          <w:color w:val="000000" w:themeColor="text1"/>
        </w:rPr>
      </w:pPr>
      <w:r w:rsidRPr="00C22C47">
        <w:rPr>
          <w:color w:val="000000" w:themeColor="text1"/>
        </w:rPr>
        <w:t>Work Illness</w:t>
      </w:r>
    </w:p>
    <w:p w14:paraId="7A1E3EF7" w14:textId="42BA31F9" w:rsidR="0024232C" w:rsidRDefault="0024232C" w:rsidP="0024232C">
      <m:oMath>
        <m:r>
          <w:rPr>
            <w:rFonts w:ascii="Cambria Math" w:hAnsi="Cambria Math"/>
          </w:rPr>
          <m:t xml:space="preserve">Work Illness Rate = </m:t>
        </m:r>
        <m:d>
          <m:dPr>
            <m:ctrlPr>
              <w:rPr>
                <w:rFonts w:ascii="Cambria Math" w:hAnsi="Cambria Math"/>
                <w:i/>
              </w:rPr>
            </m:ctrlPr>
          </m:dPr>
          <m:e>
            <m:f>
              <m:fPr>
                <m:ctrlPr>
                  <w:rPr>
                    <w:rFonts w:ascii="Cambria Math" w:hAnsi="Cambria Math"/>
                    <w:i/>
                  </w:rPr>
                </m:ctrlPr>
              </m:fPr>
              <m:num>
                <m:r>
                  <w:rPr>
                    <w:rFonts w:ascii="Cambria Math" w:hAnsi="Cambria Math"/>
                  </w:rPr>
                  <m:t>Number of Work Illnesses</m:t>
                </m:r>
              </m:num>
              <m:den>
                <m:r>
                  <w:rPr>
                    <w:rFonts w:ascii="Cambria Math" w:hAnsi="Cambria Math"/>
                  </w:rPr>
                  <m:t>Total Work Hours</m:t>
                </m:r>
              </m:den>
            </m:f>
          </m:e>
        </m:d>
        <m:r>
          <w:rPr>
            <w:rFonts w:ascii="Cambria Math" w:hAnsi="Cambria Math"/>
          </w:rPr>
          <m:t xml:space="preserve"> × 1000</m:t>
        </m:r>
      </m:oMath>
      <w:r>
        <w:rPr>
          <w:rFonts w:eastAsiaTheme="minorEastAsia"/>
        </w:rPr>
        <w:t xml:space="preserve"> </w:t>
      </w:r>
    </w:p>
    <w:p w14:paraId="418C489B" w14:textId="75627001" w:rsidR="00E54C4E" w:rsidRPr="00E54C4E" w:rsidRDefault="0024232C" w:rsidP="0024232C">
      <w:r>
        <w:t>This formula calculates the work illness rate per 1,000 work hours, providing a standardized measure of work-related illnesses.</w:t>
      </w:r>
    </w:p>
    <w:p w14:paraId="47717C13" w14:textId="40A7A64D" w:rsidR="00795056" w:rsidRPr="00C22C47" w:rsidRDefault="00795056" w:rsidP="00795056">
      <w:pPr>
        <w:pStyle w:val="Heading4"/>
        <w:rPr>
          <w:color w:val="000000" w:themeColor="text1"/>
        </w:rPr>
      </w:pPr>
      <w:r w:rsidRPr="00C22C47">
        <w:rPr>
          <w:color w:val="000000" w:themeColor="text1"/>
        </w:rPr>
        <w:t>Employee Well-being &amp; Safety</w:t>
      </w:r>
    </w:p>
    <w:p w14:paraId="41DFEDB9" w14:textId="53643F79" w:rsidR="009B1944" w:rsidRPr="009B1944" w:rsidRDefault="009B1944" w:rsidP="009B1944">
      <w:pPr>
        <w:rPr>
          <w:color w:val="000000" w:themeColor="text1"/>
        </w:rPr>
      </w:pPr>
      <m:oMath>
        <m:r>
          <w:rPr>
            <w:rFonts w:ascii="Cambria Math" w:hAnsi="Cambria Math"/>
            <w:color w:val="000000" w:themeColor="text1"/>
          </w:rPr>
          <m:t xml:space="preserve">Employee Wellbeing &amp; Safety Index =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Number of Positive Employee Well-being &amp; Safety Indicators</m:t>
                </m:r>
              </m:num>
              <m:den>
                <m:r>
                  <w:rPr>
                    <w:rFonts w:ascii="Cambria Math" w:hAnsi="Cambria Math"/>
                    <w:color w:val="000000" w:themeColor="text1"/>
                  </w:rPr>
                  <m:t>Total Employee Indicators Evaluated</m:t>
                </m:r>
              </m:den>
            </m:f>
          </m:e>
        </m:d>
        <m:r>
          <w:rPr>
            <w:rFonts w:ascii="Cambria Math" w:hAnsi="Cambria Math"/>
            <w:color w:val="000000" w:themeColor="text1"/>
          </w:rPr>
          <m:t xml:space="preserve"> × 100</m:t>
        </m:r>
      </m:oMath>
      <w:r>
        <w:rPr>
          <w:rFonts w:eastAsiaTheme="minorEastAsia"/>
          <w:color w:val="000000" w:themeColor="text1"/>
        </w:rPr>
        <w:t xml:space="preserve"> </w:t>
      </w:r>
    </w:p>
    <w:p w14:paraId="0CF3ED93" w14:textId="46AF98B7" w:rsidR="00795056" w:rsidRPr="00C22C47" w:rsidRDefault="009B1944" w:rsidP="009B1944">
      <w:pPr>
        <w:rPr>
          <w:color w:val="000000" w:themeColor="text1"/>
        </w:rPr>
      </w:pPr>
      <w:r w:rsidRPr="009B1944">
        <w:rPr>
          <w:color w:val="000000" w:themeColor="text1"/>
        </w:rPr>
        <w:t>This formula quantifies employee well-being and safety by calculating the percentage of positive indicators relative to the total indicators evaluated.</w:t>
      </w:r>
    </w:p>
    <w:p w14:paraId="724B885D" w14:textId="77777777" w:rsidR="00A17B40" w:rsidRDefault="00795056" w:rsidP="00795056">
      <w:pPr>
        <w:pStyle w:val="Heading3"/>
      </w:pPr>
      <w:bookmarkStart w:id="79" w:name="_Equality_and_Fairness"/>
      <w:bookmarkStart w:id="80" w:name="_Toc146147273"/>
      <w:bookmarkEnd w:id="79"/>
      <w:r w:rsidRPr="00C22C47">
        <w:t>Equality and Fairness</w:t>
      </w:r>
      <w:bookmarkEnd w:id="80"/>
      <w:r w:rsidRPr="00C22C47">
        <w:tab/>
      </w:r>
    </w:p>
    <w:p w14:paraId="67B1ACC2" w14:textId="7AA3A05A" w:rsidR="00795056" w:rsidRDefault="00795056" w:rsidP="00A17B40">
      <w:pPr>
        <w:pStyle w:val="Heading4"/>
      </w:pPr>
      <w:r w:rsidRPr="00C22C47">
        <w:t>Fairness in Workplace</w:t>
      </w:r>
    </w:p>
    <w:p w14:paraId="0C545F16" w14:textId="3606F6A2" w:rsidR="008932B0" w:rsidRPr="008932B0" w:rsidRDefault="001A3036" w:rsidP="008932B0">
      <w:r>
        <w:t>The extent to which employees are treated equally. Percentage of men and women employed.</w:t>
      </w:r>
    </w:p>
    <w:p w14:paraId="263D6FBC" w14:textId="34ECCEFD" w:rsidR="00795056" w:rsidRDefault="00795056" w:rsidP="00795056">
      <w:pPr>
        <w:pStyle w:val="Heading4"/>
        <w:rPr>
          <w:color w:val="000000" w:themeColor="text1"/>
        </w:rPr>
      </w:pPr>
      <w:r w:rsidRPr="00C22C47">
        <w:rPr>
          <w:color w:val="000000" w:themeColor="text1"/>
        </w:rPr>
        <w:t>Discrimination Incidents</w:t>
      </w:r>
    </w:p>
    <w:p w14:paraId="4DDED4CB" w14:textId="608957D5" w:rsidR="001A3036" w:rsidRDefault="001A3036" w:rsidP="001A3036">
      <m:oMath>
        <m:r>
          <w:rPr>
            <w:rFonts w:ascii="Cambria Math" w:hAnsi="Cambria Math"/>
          </w:rPr>
          <m:t xml:space="preserve">Discrimination Incident Rate = </m:t>
        </m:r>
        <m:d>
          <m:dPr>
            <m:ctrlPr>
              <w:rPr>
                <w:rFonts w:ascii="Cambria Math" w:hAnsi="Cambria Math"/>
                <w:i/>
              </w:rPr>
            </m:ctrlPr>
          </m:dPr>
          <m:e>
            <m:f>
              <m:fPr>
                <m:ctrlPr>
                  <w:rPr>
                    <w:rFonts w:ascii="Cambria Math" w:hAnsi="Cambria Math"/>
                    <w:i/>
                  </w:rPr>
                </m:ctrlPr>
              </m:fPr>
              <m:num>
                <m:r>
                  <w:rPr>
                    <w:rFonts w:ascii="Cambria Math" w:hAnsi="Cambria Math"/>
                  </w:rPr>
                  <m:t>Number of Discrimination Incidents</m:t>
                </m:r>
              </m:num>
              <m:den>
                <m:r>
                  <w:rPr>
                    <w:rFonts w:ascii="Cambria Math" w:hAnsi="Cambria Math"/>
                  </w:rPr>
                  <m:t>Total Employees</m:t>
                </m:r>
              </m:den>
            </m:f>
          </m:e>
        </m:d>
        <m:r>
          <w:rPr>
            <w:rFonts w:ascii="Cambria Math" w:hAnsi="Cambria Math"/>
          </w:rPr>
          <m:t xml:space="preserve"> × 1000</m:t>
        </m:r>
      </m:oMath>
      <w:r>
        <w:rPr>
          <w:rFonts w:eastAsiaTheme="minorEastAsia"/>
        </w:rPr>
        <w:t xml:space="preserve"> </w:t>
      </w:r>
    </w:p>
    <w:p w14:paraId="0F740C46" w14:textId="78963C3F" w:rsidR="001A3036" w:rsidRPr="001A3036" w:rsidRDefault="001A3036" w:rsidP="001A3036">
      <w:r>
        <w:t>This formula calculates the discrimination incident rate per 1,000 employees, providing a standardized measure of discrimination incidents.</w:t>
      </w:r>
    </w:p>
    <w:p w14:paraId="1DF4504C" w14:textId="7BCD807F" w:rsidR="00795056" w:rsidRDefault="00795056" w:rsidP="00795056">
      <w:pPr>
        <w:pStyle w:val="Heading4"/>
        <w:rPr>
          <w:color w:val="000000" w:themeColor="text1"/>
        </w:rPr>
      </w:pPr>
      <w:r w:rsidRPr="00C22C47">
        <w:rPr>
          <w:color w:val="000000" w:themeColor="text1"/>
        </w:rPr>
        <w:t>Child Labor Risk</w:t>
      </w:r>
    </w:p>
    <w:p w14:paraId="3E80DE26" w14:textId="54FF39E8" w:rsidR="001A3036" w:rsidRDefault="00B34058" w:rsidP="001A3036">
      <w:r>
        <w:t xml:space="preserve">Number of children employed for non-skilled jobs/labor. </w:t>
      </w:r>
    </w:p>
    <w:p w14:paraId="2AEC79EE" w14:textId="42B596A6" w:rsidR="00B34058" w:rsidRDefault="00B34058" w:rsidP="00B34058">
      <m:oMath>
        <m:r>
          <w:rPr>
            <w:rFonts w:ascii="Cambria Math" w:hAnsi="Cambria Math"/>
          </w:rPr>
          <m:t xml:space="preserve">Child Labor Risk Index = </m:t>
        </m:r>
        <m:d>
          <m:dPr>
            <m:ctrlPr>
              <w:rPr>
                <w:rFonts w:ascii="Cambria Math" w:hAnsi="Cambria Math"/>
                <w:i/>
              </w:rPr>
            </m:ctrlPr>
          </m:dPr>
          <m:e>
            <m:f>
              <m:fPr>
                <m:ctrlPr>
                  <w:rPr>
                    <w:rFonts w:ascii="Cambria Math" w:hAnsi="Cambria Math"/>
                    <w:i/>
                  </w:rPr>
                </m:ctrlPr>
              </m:fPr>
              <m:num>
                <m:r>
                  <w:rPr>
                    <w:rFonts w:ascii="Cambria Math" w:hAnsi="Cambria Math"/>
                  </w:rPr>
                  <m:t>Number of Child Labor Risk Indicators</m:t>
                </m:r>
              </m:num>
              <m:den>
                <m:r>
                  <w:rPr>
                    <w:rFonts w:ascii="Cambria Math" w:hAnsi="Cambria Math"/>
                  </w:rPr>
                  <m:t>Total Child Labor Risk Indicators</m:t>
                </m:r>
              </m:den>
            </m:f>
          </m:e>
        </m:d>
        <m:r>
          <w:rPr>
            <w:rFonts w:ascii="Cambria Math" w:hAnsi="Cambria Math"/>
          </w:rPr>
          <m:t xml:space="preserve"> × 100</m:t>
        </m:r>
      </m:oMath>
      <w:r>
        <w:rPr>
          <w:rFonts w:eastAsiaTheme="minorEastAsia"/>
        </w:rPr>
        <w:t xml:space="preserve"> </w:t>
      </w:r>
    </w:p>
    <w:p w14:paraId="405E3A80" w14:textId="4D0E788D" w:rsidR="00B34058" w:rsidRPr="001A3036" w:rsidRDefault="00B34058" w:rsidP="00B34058">
      <w:r>
        <w:t>This formula quantifies child labor risk by calculating the percentage of child labor risk indicators relative to the total indicators evaluated.</w:t>
      </w:r>
    </w:p>
    <w:p w14:paraId="40B934A6" w14:textId="15C77802" w:rsidR="00795056" w:rsidRDefault="00795056" w:rsidP="00795056">
      <w:pPr>
        <w:pStyle w:val="Heading4"/>
        <w:rPr>
          <w:color w:val="000000" w:themeColor="text1"/>
        </w:rPr>
      </w:pPr>
      <w:r w:rsidRPr="00C22C47">
        <w:rPr>
          <w:color w:val="000000" w:themeColor="text1"/>
        </w:rPr>
        <w:t>Governance &amp; Employee Diversity</w:t>
      </w:r>
    </w:p>
    <w:p w14:paraId="694C90C9" w14:textId="06A1E484" w:rsidR="00B34058" w:rsidRPr="00B34058" w:rsidRDefault="00E8729C" w:rsidP="00B34058">
      <w:r w:rsidRPr="00E8729C">
        <w:t>Governance and employee diversity evaluate the diversity of employees and governance structures within the organization.</w:t>
      </w:r>
      <w:r>
        <w:t xml:space="preserve"> Percentage of men and women employed. </w:t>
      </w:r>
    </w:p>
    <w:p w14:paraId="1C259142" w14:textId="20539F8C" w:rsidR="00795056" w:rsidRPr="00C22C47" w:rsidRDefault="00795056" w:rsidP="00795056">
      <w:pPr>
        <w:pStyle w:val="Heading4"/>
        <w:rPr>
          <w:color w:val="000000" w:themeColor="text1"/>
        </w:rPr>
      </w:pPr>
      <w:r w:rsidRPr="00C22C47">
        <w:rPr>
          <w:color w:val="000000" w:themeColor="text1"/>
        </w:rPr>
        <w:t>Gender Salary Ratio</w:t>
      </w:r>
    </w:p>
    <w:p w14:paraId="65360B44" w14:textId="4617B91C" w:rsidR="00B34D94" w:rsidRPr="00B34D94" w:rsidRDefault="00B34D94" w:rsidP="00B34D94">
      <w:pPr>
        <w:rPr>
          <w:color w:val="000000" w:themeColor="text1"/>
        </w:rPr>
      </w:pPr>
      <m:oMath>
        <m:r>
          <w:rPr>
            <w:rFonts w:ascii="Cambria Math" w:hAnsi="Cambria Math"/>
            <w:color w:val="000000" w:themeColor="text1"/>
          </w:rPr>
          <m:t xml:space="preserve">Gender Salary Ratio =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Average Salary for Women</m:t>
                </m:r>
              </m:num>
              <m:den>
                <m:r>
                  <w:rPr>
                    <w:rFonts w:ascii="Cambria Math" w:hAnsi="Cambria Math"/>
                    <w:color w:val="000000" w:themeColor="text1"/>
                  </w:rPr>
                  <m:t>Average Salary for Men</m:t>
                </m:r>
              </m:den>
            </m:f>
          </m:e>
        </m:d>
      </m:oMath>
      <w:r>
        <w:rPr>
          <w:rFonts w:eastAsiaTheme="minorEastAsia"/>
          <w:color w:val="000000" w:themeColor="text1"/>
        </w:rPr>
        <w:t xml:space="preserve"> </w:t>
      </w:r>
    </w:p>
    <w:p w14:paraId="770E3B08" w14:textId="655B1F6B" w:rsidR="00795056" w:rsidRPr="00C22C47" w:rsidRDefault="00B34D94" w:rsidP="00B34D94">
      <w:pPr>
        <w:rPr>
          <w:color w:val="000000" w:themeColor="text1"/>
        </w:rPr>
      </w:pPr>
      <w:r w:rsidRPr="00B34D94">
        <w:rPr>
          <w:color w:val="000000" w:themeColor="text1"/>
        </w:rPr>
        <w:t>This formula calculates the gender salary ratio by dividing the average salary for women by the average salary for men. A ratio close to 1 indicates pay equity.</w:t>
      </w:r>
    </w:p>
    <w:p w14:paraId="3895FAFD" w14:textId="77777777" w:rsidR="00A17B40" w:rsidRDefault="00795056" w:rsidP="00795056">
      <w:pPr>
        <w:pStyle w:val="Heading3"/>
      </w:pPr>
      <w:bookmarkStart w:id="81" w:name="_Local_Development"/>
      <w:bookmarkStart w:id="82" w:name="_Toc146147274"/>
      <w:bookmarkEnd w:id="81"/>
      <w:r w:rsidRPr="00C22C47">
        <w:t>Local Development</w:t>
      </w:r>
      <w:bookmarkEnd w:id="82"/>
      <w:r w:rsidRPr="00C22C47">
        <w:tab/>
      </w:r>
    </w:p>
    <w:p w14:paraId="6842595B" w14:textId="431C87E3" w:rsidR="00795056" w:rsidRDefault="00795056" w:rsidP="00A17B40">
      <w:pPr>
        <w:pStyle w:val="Heading4"/>
      </w:pPr>
      <w:r w:rsidRPr="00C22C47">
        <w:t>Benefited residents</w:t>
      </w:r>
    </w:p>
    <w:p w14:paraId="1D2F49E1" w14:textId="6682AE16" w:rsidR="00257681" w:rsidRDefault="00257681" w:rsidP="00257681">
      <m:oMath>
        <m:r>
          <w:rPr>
            <w:rFonts w:ascii="Cambria Math" w:hAnsi="Cambria Math"/>
          </w:rPr>
          <m:t xml:space="preserve">Percentage of Benefited Residents = </m:t>
        </m:r>
        <m:d>
          <m:dPr>
            <m:ctrlPr>
              <w:rPr>
                <w:rFonts w:ascii="Cambria Math" w:hAnsi="Cambria Math"/>
                <w:i/>
              </w:rPr>
            </m:ctrlPr>
          </m:dPr>
          <m:e>
            <m:f>
              <m:fPr>
                <m:ctrlPr>
                  <w:rPr>
                    <w:rFonts w:ascii="Cambria Math" w:hAnsi="Cambria Math"/>
                    <w:i/>
                  </w:rPr>
                </m:ctrlPr>
              </m:fPr>
              <m:num>
                <m:r>
                  <w:rPr>
                    <w:rFonts w:ascii="Cambria Math" w:hAnsi="Cambria Math"/>
                  </w:rPr>
                  <m:t>Number of Residents Benefiting</m:t>
                </m:r>
              </m:num>
              <m:den>
                <m:r>
                  <w:rPr>
                    <w:rFonts w:ascii="Cambria Math" w:hAnsi="Cambria Math"/>
                  </w:rPr>
                  <m:t>Total Number of Residents</m:t>
                </m:r>
              </m:den>
            </m:f>
          </m:e>
        </m:d>
        <m:r>
          <w:rPr>
            <w:rFonts w:ascii="Cambria Math" w:hAnsi="Cambria Math"/>
          </w:rPr>
          <m:t xml:space="preserve"> × 100</m:t>
        </m:r>
      </m:oMath>
      <w:r>
        <w:rPr>
          <w:rFonts w:eastAsiaTheme="minorEastAsia"/>
        </w:rPr>
        <w:t xml:space="preserve"> </w:t>
      </w:r>
    </w:p>
    <w:p w14:paraId="0ABD6775" w14:textId="3A320F29" w:rsidR="00B34D94" w:rsidRPr="00B34D94" w:rsidRDefault="00257681" w:rsidP="00257681">
      <w:r>
        <w:t>This formula calculates the percentage of local residents who have experienced positive impacts or benefits from the energy project. The specific benefits can vary and might include job opportunities, improved infrastructure, or enhanced living conditions.</w:t>
      </w:r>
    </w:p>
    <w:p w14:paraId="546AE3BB" w14:textId="1A6D8B8C" w:rsidR="00795056" w:rsidRDefault="00795056" w:rsidP="00795056">
      <w:pPr>
        <w:pStyle w:val="Heading4"/>
        <w:rPr>
          <w:color w:val="000000" w:themeColor="text1"/>
        </w:rPr>
      </w:pPr>
      <w:r w:rsidRPr="00C22C47">
        <w:rPr>
          <w:color w:val="000000" w:themeColor="text1"/>
        </w:rPr>
        <w:t>Rural Development</w:t>
      </w:r>
    </w:p>
    <w:p w14:paraId="18B4A167" w14:textId="27E20874" w:rsidR="001A04A7" w:rsidRDefault="001A04A7" w:rsidP="001A04A7">
      <m:oMathPara>
        <m:oMath>
          <m:r>
            <w:rPr>
              <w:rFonts w:ascii="Cambria Math" w:hAnsi="Cambria Math"/>
            </w:rPr>
            <m:t>Rural Development Index =</m:t>
          </m:r>
          <m:f>
            <m:fPr>
              <m:ctrlPr>
                <w:rPr>
                  <w:rFonts w:ascii="Cambria Math" w:hAnsi="Cambria Math"/>
                  <w:i/>
                </w:rPr>
              </m:ctrlPr>
            </m:fPr>
            <m:num>
              <m:d>
                <m:dPr>
                  <m:ctrlPr>
                    <w:rPr>
                      <w:rFonts w:ascii="Cambria Math" w:hAnsi="Cambria Math"/>
                      <w:i/>
                    </w:rPr>
                  </m:ctrlPr>
                </m:dPr>
                <m:e>
                  <m:r>
                    <w:rPr>
                      <w:rFonts w:ascii="Cambria Math" w:hAnsi="Cambria Math"/>
                    </w:rPr>
                    <m:t>Economic Development Score + Social Development Score + Environmental Development Score</m:t>
                  </m:r>
                </m:e>
              </m:d>
            </m:num>
            <m:den>
              <m:r>
                <w:rPr>
                  <w:rFonts w:ascii="Cambria Math" w:hAnsi="Cambria Math"/>
                </w:rPr>
                <m:t>3</m:t>
              </m:r>
            </m:den>
          </m:f>
          <m:r>
            <w:rPr>
              <w:rFonts w:ascii="Cambria Math" w:hAnsi="Cambria Math"/>
            </w:rPr>
            <m:t xml:space="preserve"> </m:t>
          </m:r>
        </m:oMath>
      </m:oMathPara>
    </w:p>
    <w:p w14:paraId="21C92753" w14:textId="00BE4A65" w:rsidR="00257681" w:rsidRPr="00257681" w:rsidRDefault="001A04A7" w:rsidP="001A04A7">
      <w:r>
        <w:t>This formula creates a composite index by combining scores related to economic, social, and environmental development. Each of these scores should be calculated separately based on relevant indicators.</w:t>
      </w:r>
    </w:p>
    <w:p w14:paraId="23AF5773" w14:textId="778F49F4" w:rsidR="00795056" w:rsidRDefault="00795056" w:rsidP="00795056">
      <w:pPr>
        <w:pStyle w:val="Heading4"/>
        <w:rPr>
          <w:color w:val="000000" w:themeColor="text1"/>
        </w:rPr>
      </w:pPr>
      <w:r w:rsidRPr="00C22C47">
        <w:rPr>
          <w:color w:val="000000" w:themeColor="text1"/>
        </w:rPr>
        <w:t>Local development</w:t>
      </w:r>
    </w:p>
    <w:p w14:paraId="04814D26" w14:textId="1B25B7FD" w:rsidR="001A04A7" w:rsidRPr="001A04A7" w:rsidRDefault="001A04A7" w:rsidP="001A04A7">
      <w:r>
        <w:t xml:space="preserve">Development in the local areas. Investment in local development in Million $. </w:t>
      </w:r>
    </w:p>
    <w:p w14:paraId="18BA9A71" w14:textId="4F151C83" w:rsidR="00795056" w:rsidRDefault="00795056" w:rsidP="00795056">
      <w:pPr>
        <w:pStyle w:val="Heading4"/>
        <w:rPr>
          <w:color w:val="000000" w:themeColor="text1"/>
        </w:rPr>
      </w:pPr>
      <w:r w:rsidRPr="00C22C47">
        <w:rPr>
          <w:color w:val="000000" w:themeColor="text1"/>
        </w:rPr>
        <w:t>Indigenous Rights Violations</w:t>
      </w:r>
    </w:p>
    <w:p w14:paraId="2F99EDC2" w14:textId="45F715CF" w:rsidR="007208D5" w:rsidRDefault="007208D5" w:rsidP="007208D5">
      <m:oMath>
        <m:r>
          <w:rPr>
            <w:rFonts w:ascii="Cambria Math" w:hAnsi="Cambria Math"/>
          </w:rPr>
          <m:t>Number of Indigenous Rights Violations = (Number of Documented Violations)</m:t>
        </m:r>
      </m:oMath>
      <w:r>
        <w:rPr>
          <w:rFonts w:eastAsiaTheme="minorEastAsia"/>
        </w:rPr>
        <w:t xml:space="preserve"> </w:t>
      </w:r>
    </w:p>
    <w:p w14:paraId="339547D8" w14:textId="3F430AB6" w:rsidR="001A04A7" w:rsidRPr="001A04A7" w:rsidRDefault="007208D5" w:rsidP="007208D5">
      <w:r>
        <w:t>This formula simply counts the number of documented violations of indigenous rights related to the energy project. It's essential to have a clear reporting and documentation mechanism in place.</w:t>
      </w:r>
    </w:p>
    <w:p w14:paraId="02B84460" w14:textId="77777777" w:rsidR="007208D5" w:rsidRDefault="00795056" w:rsidP="00795056">
      <w:pPr>
        <w:pStyle w:val="Heading4"/>
        <w:rPr>
          <w:color w:val="000000" w:themeColor="text1"/>
        </w:rPr>
      </w:pPr>
      <w:r w:rsidRPr="00C22C47">
        <w:rPr>
          <w:color w:val="000000" w:themeColor="text1"/>
        </w:rPr>
        <w:t>Community Engagement</w:t>
      </w:r>
    </w:p>
    <w:p w14:paraId="2A295113" w14:textId="77777777" w:rsidR="007208D5" w:rsidRDefault="007208D5" w:rsidP="007208D5">
      <w:pPr>
        <w:pStyle w:val="Heading4"/>
        <w:numPr>
          <w:ilvl w:val="0"/>
          <w:numId w:val="0"/>
        </w:numPr>
        <w:rPr>
          <w:color w:val="000000" w:themeColor="text1"/>
        </w:rPr>
      </w:pPr>
    </w:p>
    <w:p w14:paraId="63679AA7" w14:textId="63ADAA1E" w:rsidR="007208D5" w:rsidRPr="007208D5" w:rsidRDefault="007208D5" w:rsidP="007208D5">
      <m:oMathPara>
        <m:oMath>
          <m:r>
            <w:rPr>
              <w:rFonts w:ascii="Cambria Math" w:hAnsi="Cambria Math"/>
            </w:rPr>
            <m:t xml:space="preserve">Community Engagement Index = </m:t>
          </m:r>
          <m:d>
            <m:dPr>
              <m:ctrlPr>
                <w:rPr>
                  <w:rFonts w:ascii="Cambria Math" w:hAnsi="Cambria Math"/>
                  <w:i/>
                </w:rPr>
              </m:ctrlPr>
            </m:dPr>
            <m:e>
              <m:r>
                <w:rPr>
                  <w:rFonts w:ascii="Cambria Math" w:hAnsi="Cambria Math"/>
                </w:rPr>
                <m:t>Level of Community Involvement + Level of Stakeholder Collaboration</m:t>
              </m:r>
            </m:e>
          </m:d>
          <m:r>
            <w:rPr>
              <w:rFonts w:ascii="Cambria Math" w:hAnsi="Cambria Math"/>
            </w:rPr>
            <m:t>/ 2</m:t>
          </m:r>
        </m:oMath>
      </m:oMathPara>
    </w:p>
    <w:p w14:paraId="097A00B8" w14:textId="083D7F1B" w:rsidR="00137628" w:rsidRPr="00C22C47" w:rsidRDefault="007208D5" w:rsidP="007208D5">
      <w:r w:rsidRPr="007208D5">
        <w:t xml:space="preserve">This formula creates a composite index by combining scores related to the level of community involvement and stakeholder collaboration. These scores should be calculated separately based on specific engagement activities and feedback mechanisms. </w:t>
      </w:r>
      <w:r w:rsidR="00137628" w:rsidRPr="00C22C47">
        <w:br w:type="page"/>
      </w:r>
    </w:p>
    <w:p w14:paraId="39031308" w14:textId="77777777" w:rsidR="00137628" w:rsidRPr="00C22C47" w:rsidRDefault="00137628">
      <w:pPr>
        <w:spacing w:before="0"/>
        <w:jc w:val="left"/>
        <w:rPr>
          <w:color w:val="000000" w:themeColor="text1"/>
        </w:rPr>
      </w:pPr>
    </w:p>
    <w:p w14:paraId="7AE0430E" w14:textId="012F2A64" w:rsidR="006A65A2" w:rsidRPr="00C22C47" w:rsidRDefault="006A65A2" w:rsidP="00137628">
      <w:pPr>
        <w:spacing w:before="0"/>
        <w:jc w:val="left"/>
        <w:rPr>
          <w:rFonts w:eastAsiaTheme="majorEastAsia" w:cstheme="majorBidi"/>
          <w:b/>
          <w:color w:val="000000" w:themeColor="text1"/>
          <w:kern w:val="0"/>
          <w:sz w:val="28"/>
          <w:szCs w:val="32"/>
          <w14:ligatures w14:val="none"/>
        </w:rPr>
      </w:pPr>
      <w:r w:rsidRPr="00C22C47">
        <w:rPr>
          <w:color w:val="000000" w:themeColor="text1"/>
        </w:rPr>
        <w:fldChar w:fldCharType="begin"/>
      </w:r>
      <w:r w:rsidRPr="00C22C47">
        <w:rPr>
          <w:color w:val="000000" w:themeColor="text1"/>
        </w:rPr>
        <w:instrText xml:space="preserve"> ADDIN ZOTERO_BIBL {"uncited":[],"omitted":[],"custom":[]} CSL_BIBLIOGRAPHY </w:instrText>
      </w:r>
      <w:r w:rsidRPr="00C22C47">
        <w:rPr>
          <w:color w:val="000000" w:themeColor="text1"/>
        </w:rPr>
        <w:fldChar w:fldCharType="separate"/>
      </w:r>
    </w:p>
    <w:p w14:paraId="49C8DEED" w14:textId="77777777" w:rsidR="004C2B3A" w:rsidRPr="00C22C47" w:rsidRDefault="004C2B3A" w:rsidP="004C2B3A">
      <w:pPr>
        <w:rPr>
          <w:color w:val="000000" w:themeColor="text1"/>
        </w:rPr>
      </w:pPr>
    </w:p>
    <w:bookmarkStart w:id="83" w:name="_Toc146147275" w:displacedByCustomXml="next"/>
    <w:sdt>
      <w:sdtPr>
        <w:rPr>
          <w:rFonts w:eastAsiaTheme="minorHAnsi" w:cstheme="minorBidi"/>
          <w:b w:val="0"/>
          <w:bCs w:val="0"/>
          <w:color w:val="auto"/>
          <w:kern w:val="2"/>
          <w:sz w:val="22"/>
          <w:szCs w:val="22"/>
          <w14:ligatures w14:val="standardContextual"/>
        </w:rPr>
        <w:id w:val="-1491403798"/>
        <w:docPartObj>
          <w:docPartGallery w:val="Bibliographies"/>
          <w:docPartUnique/>
        </w:docPartObj>
      </w:sdtPr>
      <w:sdtContent>
        <w:p w14:paraId="12032C75" w14:textId="53392D5A" w:rsidR="0007231D" w:rsidRPr="00C22C47" w:rsidRDefault="0007231D" w:rsidP="00F80D1B">
          <w:pPr>
            <w:pStyle w:val="Heading1"/>
          </w:pPr>
          <w:r w:rsidRPr="00C22C47">
            <w:t>References</w:t>
          </w:r>
          <w:bookmarkEnd w:id="83"/>
        </w:p>
        <w:sdt>
          <w:sdtPr>
            <w:rPr>
              <w:b/>
              <w:bCs/>
              <w:color w:val="000000" w:themeColor="text1"/>
            </w:rPr>
            <w:id w:val="-573587230"/>
            <w:bibliography/>
          </w:sdtPr>
          <w:sdtEndPr>
            <w:rPr>
              <w:b w:val="0"/>
              <w:bCs w:val="0"/>
            </w:rPr>
          </w:sdtEndPr>
          <w:sdtContent>
            <w:p w14:paraId="2866633B" w14:textId="77777777" w:rsidR="00C03711" w:rsidRPr="00C22C47" w:rsidRDefault="0007231D" w:rsidP="00C03711">
              <w:pPr>
                <w:pStyle w:val="Bibliography"/>
                <w:rPr>
                  <w:noProof/>
                  <w:color w:val="000000" w:themeColor="text1"/>
                  <w:kern w:val="0"/>
                  <w:sz w:val="24"/>
                  <w:szCs w:val="24"/>
                  <w14:ligatures w14:val="none"/>
                </w:rPr>
              </w:pPr>
              <w:r w:rsidRPr="00C22C47">
                <w:rPr>
                  <w:b/>
                  <w:bCs/>
                  <w:color w:val="000000" w:themeColor="text1"/>
                </w:rPr>
                <w:fldChar w:fldCharType="begin"/>
              </w:r>
              <w:r w:rsidRPr="00C22C47">
                <w:rPr>
                  <w:b/>
                  <w:bCs/>
                  <w:color w:val="000000" w:themeColor="text1"/>
                </w:rPr>
                <w:instrText xml:space="preserve"> BIBLIOGRAPHY </w:instrText>
              </w:r>
              <w:r w:rsidRPr="00C22C47">
                <w:rPr>
                  <w:b/>
                  <w:bCs/>
                  <w:color w:val="000000" w:themeColor="text1"/>
                </w:rPr>
                <w:fldChar w:fldCharType="separate"/>
              </w:r>
              <w:r w:rsidR="00C03711" w:rsidRPr="00C22C47">
                <w:rPr>
                  <w:i/>
                  <w:iCs/>
                  <w:noProof/>
                  <w:color w:val="000000" w:themeColor="text1"/>
                </w:rPr>
                <w:t xml:space="preserve">Considerations in Permitting. </w:t>
              </w:r>
              <w:r w:rsidR="00C03711" w:rsidRPr="00C22C47">
                <w:rPr>
                  <w:b/>
                  <w:bCs/>
                  <w:noProof/>
                  <w:color w:val="000000" w:themeColor="text1"/>
                </w:rPr>
                <w:t>LaFleur, Chris. 2023.</w:t>
              </w:r>
              <w:r w:rsidR="00C03711" w:rsidRPr="00C22C47">
                <w:rPr>
                  <w:noProof/>
                  <w:color w:val="000000" w:themeColor="text1"/>
                </w:rPr>
                <w:t xml:space="preserve"> 2023. Fuel Cell and Hydrogen Energy Seminar.</w:t>
              </w:r>
            </w:p>
            <w:p w14:paraId="7AF9861A" w14:textId="77777777" w:rsidR="00C03711" w:rsidRPr="00C22C47" w:rsidRDefault="00C03711" w:rsidP="00C03711">
              <w:pPr>
                <w:pStyle w:val="Bibliography"/>
                <w:rPr>
                  <w:noProof/>
                  <w:color w:val="000000" w:themeColor="text1"/>
                </w:rPr>
              </w:pPr>
              <w:r w:rsidRPr="00C22C47">
                <w:rPr>
                  <w:b/>
                  <w:bCs/>
                  <w:noProof/>
                  <w:color w:val="000000" w:themeColor="text1"/>
                </w:rPr>
                <w:t>Hacatoglu, Kevork. 2014.</w:t>
              </w:r>
              <w:r w:rsidRPr="00C22C47">
                <w:rPr>
                  <w:noProof/>
                  <w:color w:val="000000" w:themeColor="text1"/>
                </w:rPr>
                <w:t xml:space="preserve"> </w:t>
              </w:r>
              <w:r w:rsidRPr="00C22C47">
                <w:rPr>
                  <w:color w:val="000000" w:themeColor="text1"/>
                </w:rPr>
                <w:t xml:space="preserve">A Systems Approach to Assessing the Sustainability of Hybrid Community Energy Systems. </w:t>
              </w:r>
              <w:r w:rsidRPr="00C22C47">
                <w:rPr>
                  <w:noProof/>
                  <w:color w:val="000000" w:themeColor="text1"/>
                </w:rPr>
                <w:t>2014.</w:t>
              </w:r>
            </w:p>
            <w:p w14:paraId="519A9213" w14:textId="77777777" w:rsidR="00C03711" w:rsidRPr="00C22C47" w:rsidRDefault="00C03711" w:rsidP="00C03711">
              <w:pPr>
                <w:pStyle w:val="Bibliography"/>
                <w:rPr>
                  <w:noProof/>
                  <w:color w:val="000000" w:themeColor="text1"/>
                </w:rPr>
              </w:pPr>
              <w:r w:rsidRPr="00C22C47">
                <w:rPr>
                  <w:color w:val="000000" w:themeColor="text1"/>
                </w:rPr>
                <w:t xml:space="preserve">Integration and economic viability of fueling the future with green hydrogen: An integration of its determinants from renewable economics. </w:t>
              </w:r>
              <w:r w:rsidRPr="00C22C47">
                <w:rPr>
                  <w:b/>
                  <w:bCs/>
                  <w:noProof/>
                  <w:color w:val="000000" w:themeColor="text1"/>
                </w:rPr>
                <w:t>Xiang, Huang, et al. 2021.</w:t>
              </w:r>
              <w:r w:rsidRPr="00C22C47">
                <w:rPr>
                  <w:noProof/>
                  <w:color w:val="000000" w:themeColor="text1"/>
                </w:rPr>
                <w:t xml:space="preserve"> 2021, Hydrogen Energy.</w:t>
              </w:r>
            </w:p>
            <w:p w14:paraId="31E2BBD8" w14:textId="77777777" w:rsidR="00C03711" w:rsidRPr="00C22C47" w:rsidRDefault="00C03711" w:rsidP="00C03711">
              <w:pPr>
                <w:pStyle w:val="Bibliography"/>
                <w:rPr>
                  <w:noProof/>
                  <w:color w:val="000000" w:themeColor="text1"/>
                </w:rPr>
              </w:pPr>
              <w:r w:rsidRPr="00C22C47">
                <w:rPr>
                  <w:i/>
                  <w:iCs/>
                  <w:noProof/>
                  <w:color w:val="000000" w:themeColor="text1"/>
                </w:rPr>
                <w:t xml:space="preserve">Review and evaluation of hydrogen production options for better environment. </w:t>
              </w:r>
              <w:r w:rsidRPr="00C22C47">
                <w:rPr>
                  <w:b/>
                  <w:bCs/>
                  <w:noProof/>
                  <w:color w:val="000000" w:themeColor="text1"/>
                </w:rPr>
                <w:t>Acar, Canan and Dincer, Ibrahim. 2019.</w:t>
              </w:r>
              <w:r w:rsidRPr="00C22C47">
                <w:rPr>
                  <w:noProof/>
                  <w:color w:val="000000" w:themeColor="text1"/>
                </w:rPr>
                <w:t xml:space="preserve"> 2019, Journal of Cleaner Production, pp. 835-847.</w:t>
              </w:r>
            </w:p>
            <w:p w14:paraId="624D183F" w14:textId="77777777" w:rsidR="00C03711" w:rsidRPr="00C22C47" w:rsidRDefault="00C03711" w:rsidP="00C03711">
              <w:pPr>
                <w:pStyle w:val="Bibliography"/>
                <w:rPr>
                  <w:noProof/>
                  <w:color w:val="000000" w:themeColor="text1"/>
                </w:rPr>
              </w:pPr>
              <w:r w:rsidRPr="00C22C47">
                <w:rPr>
                  <w:color w:val="000000" w:themeColor="text1"/>
                </w:rPr>
                <w:t xml:space="preserve">Sustainability of a wind-hydrogen energy system: Assessment using a novel index and comparison to a conventional gas-fired system. </w:t>
              </w:r>
              <w:r w:rsidRPr="00C22C47">
                <w:rPr>
                  <w:b/>
                  <w:bCs/>
                  <w:noProof/>
                  <w:color w:val="000000" w:themeColor="text1"/>
                </w:rPr>
                <w:t>Hacatoglu, Kevork, Dincer, Ibrahim and Rosen, Marc. 2016.</w:t>
              </w:r>
              <w:r w:rsidRPr="00C22C47">
                <w:rPr>
                  <w:noProof/>
                  <w:color w:val="000000" w:themeColor="text1"/>
                </w:rPr>
                <w:t xml:space="preserve"> 2016, International Journal of Hydrogen Energy.</w:t>
              </w:r>
            </w:p>
            <w:p w14:paraId="42A80D5E" w14:textId="77777777" w:rsidR="00C03711" w:rsidRPr="00C22C47" w:rsidRDefault="00C03711" w:rsidP="00C03711">
              <w:pPr>
                <w:pStyle w:val="Bibliography"/>
                <w:rPr>
                  <w:noProof/>
                  <w:color w:val="000000" w:themeColor="text1"/>
                </w:rPr>
              </w:pPr>
              <w:r w:rsidRPr="00C22C47">
                <w:rPr>
                  <w:color w:val="000000" w:themeColor="text1"/>
                </w:rPr>
                <w:t xml:space="preserve">Sustinability analysis of different hydrogen production options using hesitant fuzzy AHP. </w:t>
              </w:r>
              <w:r w:rsidRPr="00C22C47">
                <w:rPr>
                  <w:b/>
                  <w:bCs/>
                  <w:noProof/>
                  <w:color w:val="000000" w:themeColor="text1"/>
                </w:rPr>
                <w:t>Acar, Canan, Beskese, Ahmet and Temur, Gul Tekin. 2018.</w:t>
              </w:r>
              <w:r w:rsidRPr="00C22C47">
                <w:rPr>
                  <w:noProof/>
                  <w:color w:val="000000" w:themeColor="text1"/>
                </w:rPr>
                <w:t xml:space="preserve"> 2018, Hydrogen Energy.</w:t>
              </w:r>
            </w:p>
            <w:p w14:paraId="1ECD2F37" w14:textId="0A1498DE" w:rsidR="0007231D" w:rsidRPr="00C22C47" w:rsidRDefault="0007231D" w:rsidP="00C03711">
              <w:pPr>
                <w:rPr>
                  <w:color w:val="000000" w:themeColor="text1"/>
                </w:rPr>
              </w:pPr>
              <w:r w:rsidRPr="00C22C47">
                <w:rPr>
                  <w:color w:val="000000" w:themeColor="text1"/>
                </w:rPr>
                <w:fldChar w:fldCharType="end"/>
              </w:r>
            </w:p>
          </w:sdtContent>
        </w:sdt>
      </w:sdtContent>
    </w:sdt>
    <w:p w14:paraId="07B98E04" w14:textId="77777777" w:rsidR="004C2B3A" w:rsidRPr="00C22C47" w:rsidRDefault="004C2B3A" w:rsidP="004C2B3A">
      <w:pPr>
        <w:rPr>
          <w:color w:val="000000" w:themeColor="text1"/>
        </w:rPr>
      </w:pPr>
    </w:p>
    <w:p w14:paraId="68520644" w14:textId="40DCC53E" w:rsidR="000F112B" w:rsidRPr="00C22C47" w:rsidRDefault="006A65A2" w:rsidP="00FB3C63">
      <w:pPr>
        <w:rPr>
          <w:color w:val="000000" w:themeColor="text1"/>
        </w:rPr>
      </w:pPr>
      <w:r w:rsidRPr="00C22C47">
        <w:rPr>
          <w:color w:val="000000" w:themeColor="text1"/>
        </w:rPr>
        <w:fldChar w:fldCharType="end"/>
      </w:r>
    </w:p>
    <w:sectPr w:rsidR="000F112B" w:rsidRPr="00C22C4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hung, Mark" w:date="2023-07-06T12:45:00Z" w:initials="CM">
    <w:p w14:paraId="4211037B" w14:textId="77777777" w:rsidR="004463B4" w:rsidRDefault="004463B4" w:rsidP="00FB3C63">
      <w:pPr>
        <w:pStyle w:val="CommentText"/>
      </w:pPr>
      <w:r>
        <w:rPr>
          <w:rStyle w:val="CommentReference"/>
        </w:rPr>
        <w:annotationRef/>
      </w:r>
      <w:r>
        <w:t>Opinion. Need to think more on.</w:t>
      </w:r>
    </w:p>
  </w:comment>
  <w:comment w:id="5" w:author="Niaz, Haider" w:date="2023-09-20T10:25:00Z" w:initials="HN">
    <w:p w14:paraId="46C30906" w14:textId="77777777" w:rsidR="004E25EA" w:rsidRDefault="004E25EA">
      <w:pPr>
        <w:pStyle w:val="CommentText"/>
        <w:jc w:val="left"/>
      </w:pPr>
      <w:r>
        <w:rPr>
          <w:rStyle w:val="CommentReference"/>
        </w:rPr>
        <w:annotationRef/>
      </w:r>
      <w:r>
        <w:t>Look up in Zotero.</w:t>
      </w:r>
    </w:p>
  </w:comment>
  <w:comment w:id="6" w:author="Chung, Mark" w:date="2023-09-21T11:40:00Z" w:initials="CM">
    <w:p w14:paraId="227C4614" w14:textId="77777777" w:rsidR="00921582" w:rsidRDefault="00921582">
      <w:pPr>
        <w:pStyle w:val="CommentText"/>
        <w:jc w:val="left"/>
      </w:pPr>
      <w:r>
        <w:rPr>
          <w:rStyle w:val="CommentReference"/>
        </w:rPr>
        <w:annotationRef/>
      </w:r>
      <w:r>
        <w:t>Sustainability of a wind-hydrogen energy</w:t>
      </w:r>
    </w:p>
    <w:p w14:paraId="149937BF" w14:textId="77777777" w:rsidR="00921582" w:rsidRDefault="00921582">
      <w:pPr>
        <w:pStyle w:val="CommentText"/>
        <w:jc w:val="left"/>
      </w:pPr>
      <w:r>
        <w:t>system: Assessment using a novel index and</w:t>
      </w:r>
    </w:p>
    <w:p w14:paraId="69ADF8E6" w14:textId="77777777" w:rsidR="00921582" w:rsidRDefault="00921582">
      <w:pPr>
        <w:pStyle w:val="CommentText"/>
        <w:jc w:val="left"/>
      </w:pPr>
      <w:r>
        <w:t>comparison to a conventional gas-fired system - by Hacatoglu (I just added to library)</w:t>
      </w:r>
    </w:p>
  </w:comment>
  <w:comment w:id="9" w:author="Chung, Mark" w:date="2023-06-14T14:02:00Z" w:initials="CM">
    <w:p w14:paraId="226E76EE" w14:textId="31A916D2" w:rsidR="55D4FB8E" w:rsidRDefault="55D4FB8E" w:rsidP="00FB3C63">
      <w:r>
        <w:rPr>
          <w:color w:val="2B579A"/>
          <w:shd w:val="clear" w:color="auto" w:fill="E6E6E6"/>
        </w:rPr>
        <w:fldChar w:fldCharType="begin"/>
      </w:r>
      <w:r>
        <w:instrText xml:space="preserve"> HYPERLINK "mailto:lsittler@nrel.gov"</w:instrText>
      </w:r>
      <w:bookmarkStart w:id="10" w:name="_@_EA86D60458994F778E8DB7CADD06989DZ"/>
      <w:r>
        <w:rPr>
          <w:color w:val="2B579A"/>
          <w:shd w:val="clear" w:color="auto" w:fill="E6E6E6"/>
        </w:rPr>
      </w:r>
      <w:r>
        <w:rPr>
          <w:color w:val="2B579A"/>
          <w:shd w:val="clear" w:color="auto" w:fill="E6E6E6"/>
        </w:rPr>
        <w:fldChar w:fldCharType="separate"/>
      </w:r>
      <w:bookmarkEnd w:id="10"/>
      <w:r w:rsidRPr="55D4FB8E">
        <w:rPr>
          <w:rStyle w:val="Mention"/>
          <w:noProof/>
        </w:rPr>
        <w:t>@Sittler, Lauren</w:t>
      </w:r>
      <w:r>
        <w:rPr>
          <w:color w:val="2B579A"/>
          <w:shd w:val="clear" w:color="auto" w:fill="E6E6E6"/>
        </w:rPr>
        <w:fldChar w:fldCharType="end"/>
      </w:r>
      <w:r>
        <w:t xml:space="preserve"> - fill in with industry metrics and brief description of methodology.</w:t>
      </w:r>
      <w:r>
        <w:annotationRef/>
      </w:r>
      <w:r>
        <w:rPr>
          <w:rStyle w:val="CommentReference"/>
        </w:rPr>
        <w:annotationRef/>
      </w:r>
    </w:p>
  </w:comment>
  <w:comment w:id="11" w:author="Sittler, Lauren" w:date="2023-07-12T11:55:00Z" w:initials="SL">
    <w:p w14:paraId="0A7D1086" w14:textId="7555CBAF" w:rsidR="127C5D13" w:rsidRDefault="127C5D13" w:rsidP="00FB3C63">
      <w:pPr>
        <w:pStyle w:val="CommentText"/>
      </w:pPr>
      <w:r>
        <w:t>can change this to be more inclusive later if we add smaller companies</w:t>
      </w:r>
      <w:r>
        <w:rPr>
          <w:rStyle w:val="CommentReference"/>
        </w:rPr>
        <w:annotationRef/>
      </w:r>
    </w:p>
  </w:comment>
  <w:comment w:id="12" w:author="Niaz, Haider" w:date="2023-09-03T10:01:00Z" w:initials="NH">
    <w:p w14:paraId="641F1DE8" w14:textId="77777777" w:rsidR="00B25A71" w:rsidRDefault="00B25A71">
      <w:pPr>
        <w:pStyle w:val="CommentText"/>
        <w:jc w:val="left"/>
      </w:pPr>
      <w:r>
        <w:rPr>
          <w:rStyle w:val="CommentReference"/>
        </w:rPr>
        <w:annotationRef/>
      </w:r>
      <w:r>
        <w:t>Can you share the data for these plots.</w:t>
      </w:r>
    </w:p>
  </w:comment>
  <w:comment w:id="13" w:author="Sittler, Lauren" w:date="2023-07-12T12:24:00Z" w:initials="SL">
    <w:p w14:paraId="54EE7562" w14:textId="77777777" w:rsidR="127C5D13" w:rsidRDefault="127C5D13" w:rsidP="00FB3C63">
      <w:pPr>
        <w:pStyle w:val="CommentText"/>
      </w:pPr>
      <w:r>
        <w:t>needs some formatting work, but we may add companies anyways</w:t>
      </w:r>
      <w:r>
        <w:rPr>
          <w:rStyle w:val="CommentReference"/>
        </w:rPr>
        <w:annotationRef/>
      </w:r>
    </w:p>
  </w:comment>
  <w:comment w:id="25" w:author="Niaz, Haider" w:date="2023-09-06T11:17:00Z" w:initials="NH">
    <w:p w14:paraId="044F6859" w14:textId="51FE357C" w:rsidR="00A930D2" w:rsidRDefault="00A930D2">
      <w:pPr>
        <w:pStyle w:val="CommentText"/>
        <w:jc w:val="left"/>
      </w:pPr>
      <w:r>
        <w:rPr>
          <w:rStyle w:val="CommentReference"/>
        </w:rPr>
        <w:annotationRef/>
      </w:r>
      <w:r>
        <w:t>Redfine it in more relevance to hydrogen.</w:t>
      </w:r>
    </w:p>
  </w:comment>
  <w:comment w:id="29" w:author="Niaz, Haider" w:date="2023-09-20T10:18:00Z" w:initials="HN">
    <w:p w14:paraId="79591585" w14:textId="77777777" w:rsidR="004D05A5" w:rsidRDefault="004D05A5">
      <w:pPr>
        <w:pStyle w:val="CommentText"/>
        <w:jc w:val="left"/>
      </w:pPr>
      <w:r>
        <w:rPr>
          <w:rStyle w:val="CommentReference"/>
        </w:rPr>
        <w:annotationRef/>
      </w:r>
      <w:r>
        <w:t xml:space="preserve">Kevin: Define your system boundary. </w:t>
      </w:r>
    </w:p>
  </w:comment>
  <w:comment w:id="35" w:author="Topolski, Kevin" w:date="2023-06-14T15:21:00Z" w:initials="KT">
    <w:p w14:paraId="2FA40EFD" w14:textId="47EF3239" w:rsidR="006E0467" w:rsidRDefault="006E0467" w:rsidP="00FB3C63">
      <w:r>
        <w:rPr>
          <w:rStyle w:val="CommentReference"/>
        </w:rPr>
        <w:annotationRef/>
      </w:r>
      <w:r>
        <w:fldChar w:fldCharType="begin"/>
      </w:r>
      <w:r>
        <w:instrText>HYPERLINK "mailto:mchung@nrel.gov"</w:instrText>
      </w:r>
      <w:bookmarkStart w:id="36" w:name="_@_B2A9AB0A7F7E0B41BD81576714F37060Z"/>
      <w:r>
        <w:fldChar w:fldCharType="separate"/>
      </w:r>
      <w:bookmarkEnd w:id="36"/>
      <w:r w:rsidRPr="006E0467">
        <w:rPr>
          <w:rStyle w:val="Mention"/>
          <w:noProof/>
          <w:sz w:val="20"/>
          <w:szCs w:val="20"/>
        </w:rPr>
        <w:t>@Chung, Mark</w:t>
      </w:r>
      <w:r>
        <w:fldChar w:fldCharType="end"/>
      </w:r>
      <w:r>
        <w:t>, See presentation in our Zotero. This contains high level info on AHJs extending land and construction permits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11037B" w15:done="1"/>
  <w15:commentEx w15:paraId="46C30906" w15:done="0"/>
  <w15:commentEx w15:paraId="69ADF8E6" w15:paraIdParent="46C30906" w15:done="0"/>
  <w15:commentEx w15:paraId="226E76EE" w15:done="1"/>
  <w15:commentEx w15:paraId="0A7D1086" w15:done="0"/>
  <w15:commentEx w15:paraId="641F1DE8" w15:done="0"/>
  <w15:commentEx w15:paraId="54EE7562" w15:done="0"/>
  <w15:commentEx w15:paraId="044F6859" w15:done="0"/>
  <w15:commentEx w15:paraId="79591585" w15:done="0"/>
  <w15:commentEx w15:paraId="2FA40E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5135E6" w16cex:dateUtc="2023-07-06T18:45:00Z"/>
  <w16cex:commentExtensible w16cex:durableId="7307D5BD" w16cex:dateUtc="2023-09-20T16:25:00Z"/>
  <w16cex:commentExtensible w16cex:durableId="28B6AA29" w16cex:dateUtc="2023-09-21T17:40:00Z"/>
  <w16cex:commentExtensible w16cex:durableId="04E165A1" w16cex:dateUtc="2023-06-14T20:02:00Z"/>
  <w16cex:commentExtensible w16cex:durableId="08980675" w16cex:dateUtc="2023-07-12T17:55:00Z"/>
  <w16cex:commentExtensible w16cex:durableId="0B14F2D3" w16cex:dateUtc="2023-09-03T16:01:00Z"/>
  <w16cex:commentExtensible w16cex:durableId="7CA66FBD" w16cex:dateUtc="2023-07-12T18:24:00Z"/>
  <w16cex:commentExtensible w16cex:durableId="27680277" w16cex:dateUtc="2023-09-06T17:17:00Z"/>
  <w16cex:commentExtensible w16cex:durableId="4961073B" w16cex:dateUtc="2023-09-20T16:18:00Z"/>
  <w16cex:commentExtensible w16cex:durableId="28345981" w16cex:dateUtc="2023-06-14T20:21:00Z">
    <w16cex:extLst>
      <w16:ext w16:uri="{CE6994B0-6A32-4C9F-8C6B-6E91EDA988CE}">
        <cr:reactions xmlns:cr="http://schemas.microsoft.com/office/comments/2020/reactions">
          <cr:reaction reactionType="1">
            <cr:reactionInfo dateUtc="2023-06-20T21:07:32Z">
              <cr:user userId="S::mchung@nrel.gov::c3735374-ead5-4b07-b07f-da02bbba2470" userProvider="AD" userName="Chung, Mark"/>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11037B" w16cid:durableId="285135E6"/>
  <w16cid:commentId w16cid:paraId="46C30906" w16cid:durableId="7307D5BD"/>
  <w16cid:commentId w16cid:paraId="69ADF8E6" w16cid:durableId="28B6AA29"/>
  <w16cid:commentId w16cid:paraId="226E76EE" w16cid:durableId="04E165A1"/>
  <w16cid:commentId w16cid:paraId="0A7D1086" w16cid:durableId="08980675"/>
  <w16cid:commentId w16cid:paraId="641F1DE8" w16cid:durableId="0B14F2D3"/>
  <w16cid:commentId w16cid:paraId="54EE7562" w16cid:durableId="7CA66FBD"/>
  <w16cid:commentId w16cid:paraId="044F6859" w16cid:durableId="27680277"/>
  <w16cid:commentId w16cid:paraId="79591585" w16cid:durableId="4961073B"/>
  <w16cid:commentId w16cid:paraId="2FA40EFD" w16cid:durableId="283459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88A2C" w14:textId="77777777" w:rsidR="001F6AE0" w:rsidRDefault="001F6AE0" w:rsidP="00FB3C63">
      <w:r>
        <w:separator/>
      </w:r>
    </w:p>
  </w:endnote>
  <w:endnote w:type="continuationSeparator" w:id="0">
    <w:p w14:paraId="457B876F" w14:textId="77777777" w:rsidR="001F6AE0" w:rsidRDefault="001F6AE0" w:rsidP="00FB3C63">
      <w:r>
        <w:continuationSeparator/>
      </w:r>
    </w:p>
  </w:endnote>
  <w:endnote w:type="continuationNotice" w:id="1">
    <w:p w14:paraId="4E8E6B4B" w14:textId="77777777" w:rsidR="001F6AE0" w:rsidRDefault="001F6AE0" w:rsidP="00FB3C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ECE8E" w14:textId="77777777" w:rsidR="001F6AE0" w:rsidRDefault="001F6AE0" w:rsidP="00FB3C63">
      <w:r>
        <w:separator/>
      </w:r>
    </w:p>
  </w:footnote>
  <w:footnote w:type="continuationSeparator" w:id="0">
    <w:p w14:paraId="676CF501" w14:textId="77777777" w:rsidR="001F6AE0" w:rsidRDefault="001F6AE0" w:rsidP="00FB3C63">
      <w:r>
        <w:continuationSeparator/>
      </w:r>
    </w:p>
  </w:footnote>
  <w:footnote w:type="continuationNotice" w:id="1">
    <w:p w14:paraId="4F79DFB2" w14:textId="77777777" w:rsidR="001F6AE0" w:rsidRDefault="001F6AE0" w:rsidP="00FB3C63"/>
  </w:footnote>
  <w:footnote w:id="2">
    <w:p w14:paraId="03F48553" w14:textId="16F16948" w:rsidR="00C23F60" w:rsidRDefault="00C23F60">
      <w:pPr>
        <w:pStyle w:val="FootnoteText"/>
      </w:pPr>
      <w:r>
        <w:rPr>
          <w:rStyle w:val="FootnoteReference"/>
        </w:rPr>
        <w:footnoteRef/>
      </w:r>
      <w:r>
        <w:t xml:space="preserve"> </w:t>
      </w:r>
      <w:r w:rsidRPr="00C23F60">
        <w:t>https://www.wallstreetmojo.com/market-growth/</w:t>
      </w:r>
    </w:p>
  </w:footnote>
  <w:footnote w:id="3">
    <w:p w14:paraId="3F31D4A3" w14:textId="6516E32B" w:rsidR="00F24D6A" w:rsidRDefault="00F24D6A">
      <w:pPr>
        <w:pStyle w:val="FootnoteText"/>
      </w:pPr>
      <w:r>
        <w:rPr>
          <w:rStyle w:val="FootnoteReference"/>
        </w:rPr>
        <w:footnoteRef/>
      </w:r>
      <w:r>
        <w:t xml:space="preserve"> </w:t>
      </w:r>
      <w:r w:rsidRPr="00F24D6A">
        <w:t>https://www.castlegroup.co.uk/what-is-leq/</w:t>
      </w:r>
    </w:p>
  </w:footnote>
  <w:footnote w:id="4">
    <w:p w14:paraId="443A001B" w14:textId="2D388DC5" w:rsidR="00B01D47" w:rsidRDefault="00B01D47">
      <w:pPr>
        <w:pStyle w:val="FootnoteText"/>
      </w:pPr>
      <w:r>
        <w:rPr>
          <w:rStyle w:val="FootnoteReference"/>
        </w:rPr>
        <w:footnoteRef/>
      </w:r>
      <w:r>
        <w:t xml:space="preserve"> </w:t>
      </w:r>
      <w:r w:rsidRPr="00B01D47">
        <w:t>https://www.ssga.com/library-content/pdfs/insights/carbon-footprinting-an-anvestor-toolkit.pdf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61A8A"/>
    <w:multiLevelType w:val="hybridMultilevel"/>
    <w:tmpl w:val="7EF4BE0A"/>
    <w:lvl w:ilvl="0" w:tplc="0CA8C9A4">
      <w:start w:val="1"/>
      <w:numFmt w:val="bullet"/>
      <w:lvlText w:val=""/>
      <w:lvlJc w:val="left"/>
      <w:pPr>
        <w:ind w:left="720" w:hanging="360"/>
      </w:pPr>
      <w:rPr>
        <w:rFonts w:ascii="Symbol" w:hAnsi="Symbol" w:hint="default"/>
      </w:rPr>
    </w:lvl>
    <w:lvl w:ilvl="1" w:tplc="1CB23696">
      <w:start w:val="1"/>
      <w:numFmt w:val="bullet"/>
      <w:lvlText w:val="o"/>
      <w:lvlJc w:val="left"/>
      <w:pPr>
        <w:ind w:left="1440" w:hanging="360"/>
      </w:pPr>
      <w:rPr>
        <w:rFonts w:ascii="Courier New" w:hAnsi="Courier New" w:hint="default"/>
      </w:rPr>
    </w:lvl>
    <w:lvl w:ilvl="2" w:tplc="A8F2D31C">
      <w:start w:val="1"/>
      <w:numFmt w:val="bullet"/>
      <w:lvlText w:val=""/>
      <w:lvlJc w:val="left"/>
      <w:pPr>
        <w:ind w:left="2160" w:hanging="360"/>
      </w:pPr>
      <w:rPr>
        <w:rFonts w:ascii="Wingdings" w:hAnsi="Wingdings" w:hint="default"/>
      </w:rPr>
    </w:lvl>
    <w:lvl w:ilvl="3" w:tplc="8E0E5C6E">
      <w:start w:val="1"/>
      <w:numFmt w:val="bullet"/>
      <w:lvlText w:val=""/>
      <w:lvlJc w:val="left"/>
      <w:pPr>
        <w:ind w:left="2880" w:hanging="360"/>
      </w:pPr>
      <w:rPr>
        <w:rFonts w:ascii="Symbol" w:hAnsi="Symbol" w:hint="default"/>
      </w:rPr>
    </w:lvl>
    <w:lvl w:ilvl="4" w:tplc="7C4CF288">
      <w:start w:val="1"/>
      <w:numFmt w:val="bullet"/>
      <w:lvlText w:val="o"/>
      <w:lvlJc w:val="left"/>
      <w:pPr>
        <w:ind w:left="3600" w:hanging="360"/>
      </w:pPr>
      <w:rPr>
        <w:rFonts w:ascii="Courier New" w:hAnsi="Courier New" w:hint="default"/>
      </w:rPr>
    </w:lvl>
    <w:lvl w:ilvl="5" w:tplc="EF24E5D2">
      <w:start w:val="1"/>
      <w:numFmt w:val="bullet"/>
      <w:lvlText w:val=""/>
      <w:lvlJc w:val="left"/>
      <w:pPr>
        <w:ind w:left="4320" w:hanging="360"/>
      </w:pPr>
      <w:rPr>
        <w:rFonts w:ascii="Wingdings" w:hAnsi="Wingdings" w:hint="default"/>
      </w:rPr>
    </w:lvl>
    <w:lvl w:ilvl="6" w:tplc="418CE21E">
      <w:start w:val="1"/>
      <w:numFmt w:val="bullet"/>
      <w:lvlText w:val=""/>
      <w:lvlJc w:val="left"/>
      <w:pPr>
        <w:ind w:left="5040" w:hanging="360"/>
      </w:pPr>
      <w:rPr>
        <w:rFonts w:ascii="Symbol" w:hAnsi="Symbol" w:hint="default"/>
      </w:rPr>
    </w:lvl>
    <w:lvl w:ilvl="7" w:tplc="1C10F2F8">
      <w:start w:val="1"/>
      <w:numFmt w:val="bullet"/>
      <w:lvlText w:val="o"/>
      <w:lvlJc w:val="left"/>
      <w:pPr>
        <w:ind w:left="5760" w:hanging="360"/>
      </w:pPr>
      <w:rPr>
        <w:rFonts w:ascii="Courier New" w:hAnsi="Courier New" w:hint="default"/>
      </w:rPr>
    </w:lvl>
    <w:lvl w:ilvl="8" w:tplc="D4648682">
      <w:start w:val="1"/>
      <w:numFmt w:val="bullet"/>
      <w:lvlText w:val=""/>
      <w:lvlJc w:val="left"/>
      <w:pPr>
        <w:ind w:left="6480" w:hanging="360"/>
      </w:pPr>
      <w:rPr>
        <w:rFonts w:ascii="Wingdings" w:hAnsi="Wingdings" w:hint="default"/>
      </w:rPr>
    </w:lvl>
  </w:abstractNum>
  <w:abstractNum w:abstractNumId="1" w15:restartNumberingAfterBreak="0">
    <w:nsid w:val="0372609C"/>
    <w:multiLevelType w:val="hybridMultilevel"/>
    <w:tmpl w:val="05EA2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2051C"/>
    <w:multiLevelType w:val="hybridMultilevel"/>
    <w:tmpl w:val="73BA30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E476A"/>
    <w:multiLevelType w:val="hybridMultilevel"/>
    <w:tmpl w:val="B8B2FBD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A3959D8"/>
    <w:multiLevelType w:val="hybridMultilevel"/>
    <w:tmpl w:val="6AC0E136"/>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91140F"/>
    <w:multiLevelType w:val="hybridMultilevel"/>
    <w:tmpl w:val="52BE9D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E36341"/>
    <w:multiLevelType w:val="hybridMultilevel"/>
    <w:tmpl w:val="E736B1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A05CB"/>
    <w:multiLevelType w:val="hybridMultilevel"/>
    <w:tmpl w:val="5756EF2A"/>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920176"/>
    <w:multiLevelType w:val="hybridMultilevel"/>
    <w:tmpl w:val="304665A8"/>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AE1E70"/>
    <w:multiLevelType w:val="hybridMultilevel"/>
    <w:tmpl w:val="6AEEA05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1805A0"/>
    <w:multiLevelType w:val="hybridMultilevel"/>
    <w:tmpl w:val="FA3C74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7437B"/>
    <w:multiLevelType w:val="hybridMultilevel"/>
    <w:tmpl w:val="DC207266"/>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EF767E"/>
    <w:multiLevelType w:val="hybridMultilevel"/>
    <w:tmpl w:val="32C2A09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B7DDB"/>
    <w:multiLevelType w:val="hybridMultilevel"/>
    <w:tmpl w:val="EFB8E93E"/>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0E159B"/>
    <w:multiLevelType w:val="hybridMultilevel"/>
    <w:tmpl w:val="7B807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5C091B"/>
    <w:multiLevelType w:val="hybridMultilevel"/>
    <w:tmpl w:val="EF6C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74057B"/>
    <w:multiLevelType w:val="hybridMultilevel"/>
    <w:tmpl w:val="7D106E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D40D95"/>
    <w:multiLevelType w:val="hybridMultilevel"/>
    <w:tmpl w:val="E0FE0500"/>
    <w:lvl w:ilvl="0" w:tplc="31305DB0">
      <w:start w:val="1"/>
      <w:numFmt w:val="lowerLetter"/>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561D5C"/>
    <w:multiLevelType w:val="hybridMultilevel"/>
    <w:tmpl w:val="406CE8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BF520B"/>
    <w:multiLevelType w:val="hybridMultilevel"/>
    <w:tmpl w:val="4D08AE8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23D3F03"/>
    <w:multiLevelType w:val="hybridMultilevel"/>
    <w:tmpl w:val="45A091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504184"/>
    <w:multiLevelType w:val="hybridMultilevel"/>
    <w:tmpl w:val="47446D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E471A3"/>
    <w:multiLevelType w:val="hybridMultilevel"/>
    <w:tmpl w:val="F7F2B79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B23BEB"/>
    <w:multiLevelType w:val="hybridMultilevel"/>
    <w:tmpl w:val="09F0AC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BF1701"/>
    <w:multiLevelType w:val="hybridMultilevel"/>
    <w:tmpl w:val="E4204A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44474B"/>
    <w:multiLevelType w:val="hybridMultilevel"/>
    <w:tmpl w:val="B05AE5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35640E"/>
    <w:multiLevelType w:val="hybridMultilevel"/>
    <w:tmpl w:val="6A8AC56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B187798"/>
    <w:multiLevelType w:val="hybridMultilevel"/>
    <w:tmpl w:val="88FA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E52FC4"/>
    <w:multiLevelType w:val="hybridMultilevel"/>
    <w:tmpl w:val="C51C5F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CA0BD9"/>
    <w:multiLevelType w:val="hybridMultilevel"/>
    <w:tmpl w:val="B394D4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6D0F64"/>
    <w:multiLevelType w:val="hybridMultilevel"/>
    <w:tmpl w:val="959C0F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7C4947"/>
    <w:multiLevelType w:val="hybridMultilevel"/>
    <w:tmpl w:val="99F011FA"/>
    <w:lvl w:ilvl="0" w:tplc="FFFFFFFF">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17218A1"/>
    <w:multiLevelType w:val="hybridMultilevel"/>
    <w:tmpl w:val="9EC45E8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DA4043"/>
    <w:multiLevelType w:val="hybridMultilevel"/>
    <w:tmpl w:val="14D46E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D553C5"/>
    <w:multiLevelType w:val="hybridMultilevel"/>
    <w:tmpl w:val="A4363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333CC4"/>
    <w:multiLevelType w:val="hybridMultilevel"/>
    <w:tmpl w:val="CCAEDD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CE5B2D"/>
    <w:multiLevelType w:val="hybridMultilevel"/>
    <w:tmpl w:val="23B2CC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3A03CF"/>
    <w:multiLevelType w:val="hybridMultilevel"/>
    <w:tmpl w:val="3F2AA90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741E88"/>
    <w:multiLevelType w:val="hybridMultilevel"/>
    <w:tmpl w:val="26DAEFCA"/>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7C6439B"/>
    <w:multiLevelType w:val="multilevel"/>
    <w:tmpl w:val="130063D4"/>
    <w:lvl w:ilvl="0">
      <w:start w:val="1"/>
      <w:numFmt w:val="decimal"/>
      <w:lvlText w:val="%1."/>
      <w:lvlJc w:val="left"/>
      <w:pPr>
        <w:ind w:left="360" w:hanging="360"/>
      </w:pPr>
    </w:lvl>
    <w:lvl w:ilvl="1">
      <w:start w:val="1"/>
      <w:numFmt w:val="upperLetter"/>
      <w:pStyle w:val="Heading5"/>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A5165AB"/>
    <w:multiLevelType w:val="hybridMultilevel"/>
    <w:tmpl w:val="2064FDCC"/>
    <w:lvl w:ilvl="0" w:tplc="39E8CF0C">
      <w:start w:val="1"/>
      <w:numFmt w:val="bullet"/>
      <w:lvlText w:val=""/>
      <w:lvlJc w:val="left"/>
      <w:pPr>
        <w:ind w:left="720" w:hanging="360"/>
      </w:pPr>
      <w:rPr>
        <w:rFonts w:ascii="Symbol" w:hAnsi="Symbol" w:hint="default"/>
      </w:rPr>
    </w:lvl>
    <w:lvl w:ilvl="1" w:tplc="8E82793E">
      <w:start w:val="1"/>
      <w:numFmt w:val="bullet"/>
      <w:lvlText w:val="o"/>
      <w:lvlJc w:val="left"/>
      <w:pPr>
        <w:ind w:left="1440" w:hanging="360"/>
      </w:pPr>
      <w:rPr>
        <w:rFonts w:ascii="Courier New" w:hAnsi="Courier New" w:hint="default"/>
      </w:rPr>
    </w:lvl>
    <w:lvl w:ilvl="2" w:tplc="ACE2EEFE">
      <w:start w:val="1"/>
      <w:numFmt w:val="bullet"/>
      <w:lvlText w:val=""/>
      <w:lvlJc w:val="left"/>
      <w:pPr>
        <w:ind w:left="2160" w:hanging="360"/>
      </w:pPr>
      <w:rPr>
        <w:rFonts w:ascii="Wingdings" w:hAnsi="Wingdings" w:hint="default"/>
      </w:rPr>
    </w:lvl>
    <w:lvl w:ilvl="3" w:tplc="270EB0CA">
      <w:start w:val="1"/>
      <w:numFmt w:val="bullet"/>
      <w:lvlText w:val=""/>
      <w:lvlJc w:val="left"/>
      <w:pPr>
        <w:ind w:left="2880" w:hanging="360"/>
      </w:pPr>
      <w:rPr>
        <w:rFonts w:ascii="Symbol" w:hAnsi="Symbol" w:hint="default"/>
      </w:rPr>
    </w:lvl>
    <w:lvl w:ilvl="4" w:tplc="E1EE0E1C">
      <w:start w:val="1"/>
      <w:numFmt w:val="bullet"/>
      <w:lvlText w:val="o"/>
      <w:lvlJc w:val="left"/>
      <w:pPr>
        <w:ind w:left="3600" w:hanging="360"/>
      </w:pPr>
      <w:rPr>
        <w:rFonts w:ascii="Courier New" w:hAnsi="Courier New" w:hint="default"/>
      </w:rPr>
    </w:lvl>
    <w:lvl w:ilvl="5" w:tplc="9C4485DE">
      <w:start w:val="1"/>
      <w:numFmt w:val="bullet"/>
      <w:lvlText w:val=""/>
      <w:lvlJc w:val="left"/>
      <w:pPr>
        <w:ind w:left="4320" w:hanging="360"/>
      </w:pPr>
      <w:rPr>
        <w:rFonts w:ascii="Wingdings" w:hAnsi="Wingdings" w:hint="default"/>
      </w:rPr>
    </w:lvl>
    <w:lvl w:ilvl="6" w:tplc="FFCA86AC">
      <w:start w:val="1"/>
      <w:numFmt w:val="bullet"/>
      <w:lvlText w:val=""/>
      <w:lvlJc w:val="left"/>
      <w:pPr>
        <w:ind w:left="5040" w:hanging="360"/>
      </w:pPr>
      <w:rPr>
        <w:rFonts w:ascii="Symbol" w:hAnsi="Symbol" w:hint="default"/>
      </w:rPr>
    </w:lvl>
    <w:lvl w:ilvl="7" w:tplc="F0B85BB0">
      <w:start w:val="1"/>
      <w:numFmt w:val="bullet"/>
      <w:lvlText w:val="o"/>
      <w:lvlJc w:val="left"/>
      <w:pPr>
        <w:ind w:left="5760" w:hanging="360"/>
      </w:pPr>
      <w:rPr>
        <w:rFonts w:ascii="Courier New" w:hAnsi="Courier New" w:hint="default"/>
      </w:rPr>
    </w:lvl>
    <w:lvl w:ilvl="8" w:tplc="FBD83156">
      <w:start w:val="1"/>
      <w:numFmt w:val="bullet"/>
      <w:lvlText w:val=""/>
      <w:lvlJc w:val="left"/>
      <w:pPr>
        <w:ind w:left="6480" w:hanging="360"/>
      </w:pPr>
      <w:rPr>
        <w:rFonts w:ascii="Wingdings" w:hAnsi="Wingdings" w:hint="default"/>
      </w:rPr>
    </w:lvl>
  </w:abstractNum>
  <w:abstractNum w:abstractNumId="41" w15:restartNumberingAfterBreak="0">
    <w:nsid w:val="4C895A5E"/>
    <w:multiLevelType w:val="hybridMultilevel"/>
    <w:tmpl w:val="2A183158"/>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667F42"/>
    <w:multiLevelType w:val="hybridMultilevel"/>
    <w:tmpl w:val="D97293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B703DF"/>
    <w:multiLevelType w:val="hybridMultilevel"/>
    <w:tmpl w:val="5E0C61D0"/>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726228F"/>
    <w:multiLevelType w:val="hybridMultilevel"/>
    <w:tmpl w:val="EC68E7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2D66A1"/>
    <w:multiLevelType w:val="hybridMultilevel"/>
    <w:tmpl w:val="177EA1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9A6D4D"/>
    <w:multiLevelType w:val="hybridMultilevel"/>
    <w:tmpl w:val="B8B2FBD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5C380FB7"/>
    <w:multiLevelType w:val="hybridMultilevel"/>
    <w:tmpl w:val="18B088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F306FD"/>
    <w:multiLevelType w:val="hybridMultilevel"/>
    <w:tmpl w:val="FFFFFFFF"/>
    <w:lvl w:ilvl="0" w:tplc="1B4ECC2A">
      <w:start w:val="1"/>
      <w:numFmt w:val="bullet"/>
      <w:lvlText w:val=""/>
      <w:lvlJc w:val="left"/>
      <w:pPr>
        <w:ind w:left="720" w:hanging="360"/>
      </w:pPr>
      <w:rPr>
        <w:rFonts w:ascii="Symbol" w:hAnsi="Symbol" w:hint="default"/>
      </w:rPr>
    </w:lvl>
    <w:lvl w:ilvl="1" w:tplc="237A42E2">
      <w:start w:val="1"/>
      <w:numFmt w:val="bullet"/>
      <w:lvlText w:val="o"/>
      <w:lvlJc w:val="left"/>
      <w:pPr>
        <w:ind w:left="1440" w:hanging="360"/>
      </w:pPr>
      <w:rPr>
        <w:rFonts w:ascii="Courier New" w:hAnsi="Courier New" w:hint="default"/>
      </w:rPr>
    </w:lvl>
    <w:lvl w:ilvl="2" w:tplc="232EF83E">
      <w:start w:val="1"/>
      <w:numFmt w:val="bullet"/>
      <w:lvlText w:val=""/>
      <w:lvlJc w:val="left"/>
      <w:pPr>
        <w:ind w:left="2160" w:hanging="360"/>
      </w:pPr>
      <w:rPr>
        <w:rFonts w:ascii="Wingdings" w:hAnsi="Wingdings" w:hint="default"/>
      </w:rPr>
    </w:lvl>
    <w:lvl w:ilvl="3" w:tplc="FE56B7DA">
      <w:start w:val="1"/>
      <w:numFmt w:val="bullet"/>
      <w:lvlText w:val=""/>
      <w:lvlJc w:val="left"/>
      <w:pPr>
        <w:ind w:left="2880" w:hanging="360"/>
      </w:pPr>
      <w:rPr>
        <w:rFonts w:ascii="Symbol" w:hAnsi="Symbol" w:hint="default"/>
      </w:rPr>
    </w:lvl>
    <w:lvl w:ilvl="4" w:tplc="D076F74C">
      <w:start w:val="1"/>
      <w:numFmt w:val="bullet"/>
      <w:lvlText w:val="o"/>
      <w:lvlJc w:val="left"/>
      <w:pPr>
        <w:ind w:left="3600" w:hanging="360"/>
      </w:pPr>
      <w:rPr>
        <w:rFonts w:ascii="Courier New" w:hAnsi="Courier New" w:hint="default"/>
      </w:rPr>
    </w:lvl>
    <w:lvl w:ilvl="5" w:tplc="E3245D5A">
      <w:start w:val="1"/>
      <w:numFmt w:val="bullet"/>
      <w:lvlText w:val=""/>
      <w:lvlJc w:val="left"/>
      <w:pPr>
        <w:ind w:left="4320" w:hanging="360"/>
      </w:pPr>
      <w:rPr>
        <w:rFonts w:ascii="Wingdings" w:hAnsi="Wingdings" w:hint="default"/>
      </w:rPr>
    </w:lvl>
    <w:lvl w:ilvl="6" w:tplc="CC7428FC">
      <w:start w:val="1"/>
      <w:numFmt w:val="bullet"/>
      <w:lvlText w:val=""/>
      <w:lvlJc w:val="left"/>
      <w:pPr>
        <w:ind w:left="5040" w:hanging="360"/>
      </w:pPr>
      <w:rPr>
        <w:rFonts w:ascii="Symbol" w:hAnsi="Symbol" w:hint="default"/>
      </w:rPr>
    </w:lvl>
    <w:lvl w:ilvl="7" w:tplc="ACAE3638">
      <w:start w:val="1"/>
      <w:numFmt w:val="bullet"/>
      <w:lvlText w:val="o"/>
      <w:lvlJc w:val="left"/>
      <w:pPr>
        <w:ind w:left="5760" w:hanging="360"/>
      </w:pPr>
      <w:rPr>
        <w:rFonts w:ascii="Courier New" w:hAnsi="Courier New" w:hint="default"/>
      </w:rPr>
    </w:lvl>
    <w:lvl w:ilvl="8" w:tplc="751AFF6E">
      <w:start w:val="1"/>
      <w:numFmt w:val="bullet"/>
      <w:lvlText w:val=""/>
      <w:lvlJc w:val="left"/>
      <w:pPr>
        <w:ind w:left="6480" w:hanging="360"/>
      </w:pPr>
      <w:rPr>
        <w:rFonts w:ascii="Wingdings" w:hAnsi="Wingdings" w:hint="default"/>
      </w:rPr>
    </w:lvl>
  </w:abstractNum>
  <w:abstractNum w:abstractNumId="49" w15:restartNumberingAfterBreak="0">
    <w:nsid w:val="61862396"/>
    <w:multiLevelType w:val="hybridMultilevel"/>
    <w:tmpl w:val="94B200F0"/>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836C05"/>
    <w:multiLevelType w:val="hybridMultilevel"/>
    <w:tmpl w:val="B4C694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613B72"/>
    <w:multiLevelType w:val="hybridMultilevel"/>
    <w:tmpl w:val="66D0C4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B942E4"/>
    <w:multiLevelType w:val="hybridMultilevel"/>
    <w:tmpl w:val="B8B2FBD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0DE5357"/>
    <w:multiLevelType w:val="hybridMultilevel"/>
    <w:tmpl w:val="D9E48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423263"/>
    <w:multiLevelType w:val="hybridMultilevel"/>
    <w:tmpl w:val="8E9200B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5EF30A4"/>
    <w:multiLevelType w:val="hybridMultilevel"/>
    <w:tmpl w:val="5AAAC8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561E57"/>
    <w:multiLevelType w:val="hybridMultilevel"/>
    <w:tmpl w:val="C018C9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496C8D"/>
    <w:multiLevelType w:val="hybridMultilevel"/>
    <w:tmpl w:val="6D9A2A3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53103A"/>
    <w:multiLevelType w:val="hybridMultilevel"/>
    <w:tmpl w:val="1022277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F060CA"/>
    <w:multiLevelType w:val="hybridMultilevel"/>
    <w:tmpl w:val="C9C6530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D05EA9"/>
    <w:multiLevelType w:val="hybridMultilevel"/>
    <w:tmpl w:val="495A98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B82797"/>
    <w:multiLevelType w:val="hybridMultilevel"/>
    <w:tmpl w:val="029802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B83F67"/>
    <w:multiLevelType w:val="multilevel"/>
    <w:tmpl w:val="38D4AF2E"/>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i w:val="0"/>
        <w:iCs w:val="0"/>
      </w:rPr>
    </w:lvl>
    <w:lvl w:ilvl="3">
      <w:start w:val="1"/>
      <w:numFmt w:val="decimal"/>
      <w:pStyle w:val="Heading4"/>
      <w:isLgl/>
      <w:lvlText w:val="%1.%2.%3.%4."/>
      <w:lvlJc w:val="left"/>
      <w:pPr>
        <w:ind w:left="1440" w:hanging="1080"/>
      </w:pPr>
      <w:rPr>
        <w:rFonts w:hint="default"/>
        <w:i w:val="0"/>
        <w:i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FF540C2"/>
    <w:multiLevelType w:val="hybridMultilevel"/>
    <w:tmpl w:val="553438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1614">
    <w:abstractNumId w:val="40"/>
  </w:num>
  <w:num w:numId="2" w16cid:durableId="1433207878">
    <w:abstractNumId w:val="0"/>
  </w:num>
  <w:num w:numId="3" w16cid:durableId="1751542936">
    <w:abstractNumId w:val="48"/>
  </w:num>
  <w:num w:numId="4" w16cid:durableId="101075583">
    <w:abstractNumId w:val="27"/>
  </w:num>
  <w:num w:numId="5" w16cid:durableId="1005399634">
    <w:abstractNumId w:val="39"/>
  </w:num>
  <w:num w:numId="6" w16cid:durableId="375741938">
    <w:abstractNumId w:val="47"/>
  </w:num>
  <w:num w:numId="7" w16cid:durableId="1680112524">
    <w:abstractNumId w:val="1"/>
  </w:num>
  <w:num w:numId="8" w16cid:durableId="1506479531">
    <w:abstractNumId w:val="15"/>
  </w:num>
  <w:num w:numId="9" w16cid:durableId="257563663">
    <w:abstractNumId w:val="17"/>
  </w:num>
  <w:num w:numId="10" w16cid:durableId="308948116">
    <w:abstractNumId w:val="44"/>
  </w:num>
  <w:num w:numId="11" w16cid:durableId="1085302683">
    <w:abstractNumId w:val="50"/>
  </w:num>
  <w:num w:numId="12" w16cid:durableId="758604697">
    <w:abstractNumId w:val="21"/>
  </w:num>
  <w:num w:numId="13" w16cid:durableId="1324775873">
    <w:abstractNumId w:val="36"/>
  </w:num>
  <w:num w:numId="14" w16cid:durableId="838622211">
    <w:abstractNumId w:val="43"/>
  </w:num>
  <w:num w:numId="15" w16cid:durableId="246808675">
    <w:abstractNumId w:val="38"/>
  </w:num>
  <w:num w:numId="16" w16cid:durableId="1201241166">
    <w:abstractNumId w:val="59"/>
  </w:num>
  <w:num w:numId="17" w16cid:durableId="1969360183">
    <w:abstractNumId w:val="25"/>
  </w:num>
  <w:num w:numId="18" w16cid:durableId="1086418174">
    <w:abstractNumId w:val="5"/>
  </w:num>
  <w:num w:numId="19" w16cid:durableId="1719892923">
    <w:abstractNumId w:val="6"/>
  </w:num>
  <w:num w:numId="20" w16cid:durableId="104926902">
    <w:abstractNumId w:val="61"/>
  </w:num>
  <w:num w:numId="21" w16cid:durableId="889609327">
    <w:abstractNumId w:val="42"/>
  </w:num>
  <w:num w:numId="22" w16cid:durableId="1841501966">
    <w:abstractNumId w:val="20"/>
  </w:num>
  <w:num w:numId="23" w16cid:durableId="1357660527">
    <w:abstractNumId w:val="62"/>
  </w:num>
  <w:num w:numId="24" w16cid:durableId="9123571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228491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350139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30879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38409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6838667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7971598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792074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9596844">
    <w:abstractNumId w:val="9"/>
  </w:num>
  <w:num w:numId="33" w16cid:durableId="440883580">
    <w:abstractNumId w:val="19"/>
  </w:num>
  <w:num w:numId="34" w16cid:durableId="1857190176">
    <w:abstractNumId w:val="37"/>
  </w:num>
  <w:num w:numId="35" w16cid:durableId="1496218936">
    <w:abstractNumId w:val="51"/>
  </w:num>
  <w:num w:numId="36" w16cid:durableId="923151394">
    <w:abstractNumId w:val="32"/>
  </w:num>
  <w:num w:numId="37" w16cid:durableId="2001080255">
    <w:abstractNumId w:val="31"/>
  </w:num>
  <w:num w:numId="38" w16cid:durableId="131598455">
    <w:abstractNumId w:val="52"/>
  </w:num>
  <w:num w:numId="39" w16cid:durableId="1855800759">
    <w:abstractNumId w:val="35"/>
  </w:num>
  <w:num w:numId="40" w16cid:durableId="1452212326">
    <w:abstractNumId w:val="53"/>
  </w:num>
  <w:num w:numId="41" w16cid:durableId="781264968">
    <w:abstractNumId w:val="12"/>
  </w:num>
  <w:num w:numId="42" w16cid:durableId="1815025204">
    <w:abstractNumId w:val="46"/>
  </w:num>
  <w:num w:numId="43" w16cid:durableId="1709600424">
    <w:abstractNumId w:val="3"/>
  </w:num>
  <w:num w:numId="44" w16cid:durableId="372459864">
    <w:abstractNumId w:val="45"/>
  </w:num>
  <w:num w:numId="45" w16cid:durableId="246039174">
    <w:abstractNumId w:val="16"/>
  </w:num>
  <w:num w:numId="46" w16cid:durableId="745034680">
    <w:abstractNumId w:val="24"/>
  </w:num>
  <w:num w:numId="47" w16cid:durableId="1769230586">
    <w:abstractNumId w:val="14"/>
  </w:num>
  <w:num w:numId="48" w16cid:durableId="1994017769">
    <w:abstractNumId w:val="55"/>
  </w:num>
  <w:num w:numId="49" w16cid:durableId="682244196">
    <w:abstractNumId w:val="10"/>
  </w:num>
  <w:num w:numId="50" w16cid:durableId="1277756740">
    <w:abstractNumId w:val="18"/>
  </w:num>
  <w:num w:numId="51" w16cid:durableId="1047023096">
    <w:abstractNumId w:val="54"/>
  </w:num>
  <w:num w:numId="52" w16cid:durableId="1642538769">
    <w:abstractNumId w:val="57"/>
  </w:num>
  <w:num w:numId="53" w16cid:durableId="516507171">
    <w:abstractNumId w:val="28"/>
  </w:num>
  <w:num w:numId="54" w16cid:durableId="867330796">
    <w:abstractNumId w:val="26"/>
  </w:num>
  <w:num w:numId="55" w16cid:durableId="921719643">
    <w:abstractNumId w:val="33"/>
  </w:num>
  <w:num w:numId="56" w16cid:durableId="1504979361">
    <w:abstractNumId w:val="34"/>
  </w:num>
  <w:num w:numId="57" w16cid:durableId="724641368">
    <w:abstractNumId w:val="63"/>
  </w:num>
  <w:num w:numId="58" w16cid:durableId="18546071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036013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49133165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0826293">
    <w:abstractNumId w:val="4"/>
  </w:num>
  <w:num w:numId="62" w16cid:durableId="1451122652">
    <w:abstractNumId w:val="2"/>
  </w:num>
  <w:num w:numId="63" w16cid:durableId="1951010611">
    <w:abstractNumId w:val="29"/>
  </w:num>
  <w:num w:numId="64" w16cid:durableId="1998609272">
    <w:abstractNumId w:val="56"/>
  </w:num>
  <w:num w:numId="65" w16cid:durableId="805658481">
    <w:abstractNumId w:val="30"/>
  </w:num>
  <w:num w:numId="66" w16cid:durableId="2053726896">
    <w:abstractNumId w:val="41"/>
  </w:num>
  <w:num w:numId="67" w16cid:durableId="848980108">
    <w:abstractNumId w:val="11"/>
  </w:num>
  <w:num w:numId="68" w16cid:durableId="1539857741">
    <w:abstractNumId w:val="22"/>
  </w:num>
  <w:num w:numId="69" w16cid:durableId="1030911412">
    <w:abstractNumId w:val="58"/>
  </w:num>
  <w:num w:numId="70" w16cid:durableId="1094473101">
    <w:abstractNumId w:val="13"/>
  </w:num>
  <w:num w:numId="71" w16cid:durableId="225385006">
    <w:abstractNumId w:val="8"/>
  </w:num>
  <w:num w:numId="72" w16cid:durableId="433402462">
    <w:abstractNumId w:val="49"/>
  </w:num>
  <w:num w:numId="73" w16cid:durableId="350225601">
    <w:abstractNumId w:val="7"/>
  </w:num>
  <w:num w:numId="74" w16cid:durableId="1578129810">
    <w:abstractNumId w:val="23"/>
  </w:num>
  <w:num w:numId="75" w16cid:durableId="1981615535">
    <w:abstractNumId w:val="60"/>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ung, Mark">
    <w15:presenceInfo w15:providerId="AD" w15:userId="S::mchung@nrel.gov::c3735374-ead5-4b07-b07f-da02bbba2470"/>
  </w15:person>
  <w15:person w15:author="Niaz, Haider">
    <w15:presenceInfo w15:providerId="AD" w15:userId="S::hniaz@nrel.gov::e5381e47-3dda-4a34-831a-c3ccb23ddf40"/>
  </w15:person>
  <w15:person w15:author="Sittler, Lauren">
    <w15:presenceInfo w15:providerId="AD" w15:userId="S::lsittler@nrel.gov::533bde1c-eedd-4090-bf42-7d6e8756f7f6"/>
  </w15:person>
  <w15:person w15:author="Topolski, Kevin">
    <w15:presenceInfo w15:providerId="AD" w15:userId="S::ktopolsk@nrel.gov::10561763-78a0-45d5-8691-c0ed9ccf2f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2B"/>
    <w:rsid w:val="00000552"/>
    <w:rsid w:val="00000CDE"/>
    <w:rsid w:val="000023EF"/>
    <w:rsid w:val="0000325E"/>
    <w:rsid w:val="000037BA"/>
    <w:rsid w:val="00003E1A"/>
    <w:rsid w:val="00005D2D"/>
    <w:rsid w:val="00014517"/>
    <w:rsid w:val="000148EC"/>
    <w:rsid w:val="00015483"/>
    <w:rsid w:val="000223E3"/>
    <w:rsid w:val="00022E74"/>
    <w:rsid w:val="00025B70"/>
    <w:rsid w:val="00027416"/>
    <w:rsid w:val="00027CAB"/>
    <w:rsid w:val="00032522"/>
    <w:rsid w:val="000328D2"/>
    <w:rsid w:val="0003602F"/>
    <w:rsid w:val="0003736A"/>
    <w:rsid w:val="0004073D"/>
    <w:rsid w:val="000421E7"/>
    <w:rsid w:val="000530E7"/>
    <w:rsid w:val="0005405E"/>
    <w:rsid w:val="00057D61"/>
    <w:rsid w:val="00062794"/>
    <w:rsid w:val="00063272"/>
    <w:rsid w:val="00064686"/>
    <w:rsid w:val="0006610E"/>
    <w:rsid w:val="000713D0"/>
    <w:rsid w:val="0007231D"/>
    <w:rsid w:val="00074AA3"/>
    <w:rsid w:val="000751B9"/>
    <w:rsid w:val="00077B5F"/>
    <w:rsid w:val="0008134E"/>
    <w:rsid w:val="0008247D"/>
    <w:rsid w:val="000912B6"/>
    <w:rsid w:val="0009397E"/>
    <w:rsid w:val="000957C9"/>
    <w:rsid w:val="000961EE"/>
    <w:rsid w:val="000976D9"/>
    <w:rsid w:val="00097F58"/>
    <w:rsid w:val="000A1C8C"/>
    <w:rsid w:val="000A6B36"/>
    <w:rsid w:val="000B0487"/>
    <w:rsid w:val="000B1A1B"/>
    <w:rsid w:val="000B5206"/>
    <w:rsid w:val="000B5D53"/>
    <w:rsid w:val="000B5E92"/>
    <w:rsid w:val="000B7044"/>
    <w:rsid w:val="000B7A77"/>
    <w:rsid w:val="000C038F"/>
    <w:rsid w:val="000C0989"/>
    <w:rsid w:val="000C1C7E"/>
    <w:rsid w:val="000C3C48"/>
    <w:rsid w:val="000C497D"/>
    <w:rsid w:val="000C6F17"/>
    <w:rsid w:val="000D6071"/>
    <w:rsid w:val="000D64F9"/>
    <w:rsid w:val="000E27F1"/>
    <w:rsid w:val="000E6615"/>
    <w:rsid w:val="000E69AA"/>
    <w:rsid w:val="000E6D38"/>
    <w:rsid w:val="000E74BE"/>
    <w:rsid w:val="000E7A62"/>
    <w:rsid w:val="000F0BD3"/>
    <w:rsid w:val="000F112B"/>
    <w:rsid w:val="000F1652"/>
    <w:rsid w:val="000F30B6"/>
    <w:rsid w:val="000F6253"/>
    <w:rsid w:val="000F714D"/>
    <w:rsid w:val="00102D81"/>
    <w:rsid w:val="001037E3"/>
    <w:rsid w:val="001040D9"/>
    <w:rsid w:val="00112EED"/>
    <w:rsid w:val="001162FC"/>
    <w:rsid w:val="0011736E"/>
    <w:rsid w:val="00120CA9"/>
    <w:rsid w:val="00122B10"/>
    <w:rsid w:val="00123240"/>
    <w:rsid w:val="0012353D"/>
    <w:rsid w:val="00123FE7"/>
    <w:rsid w:val="0012579B"/>
    <w:rsid w:val="00131831"/>
    <w:rsid w:val="00134E4C"/>
    <w:rsid w:val="00137628"/>
    <w:rsid w:val="00142FD4"/>
    <w:rsid w:val="001502C5"/>
    <w:rsid w:val="001508D7"/>
    <w:rsid w:val="00150D80"/>
    <w:rsid w:val="00152139"/>
    <w:rsid w:val="00152283"/>
    <w:rsid w:val="001526CA"/>
    <w:rsid w:val="001559DA"/>
    <w:rsid w:val="0016278C"/>
    <w:rsid w:val="00163275"/>
    <w:rsid w:val="00163B36"/>
    <w:rsid w:val="001656D9"/>
    <w:rsid w:val="00170459"/>
    <w:rsid w:val="00171DD1"/>
    <w:rsid w:val="00173920"/>
    <w:rsid w:val="00183828"/>
    <w:rsid w:val="001855FC"/>
    <w:rsid w:val="00185D19"/>
    <w:rsid w:val="001877C1"/>
    <w:rsid w:val="00187E51"/>
    <w:rsid w:val="001918F2"/>
    <w:rsid w:val="00193EB7"/>
    <w:rsid w:val="001960E8"/>
    <w:rsid w:val="00196A57"/>
    <w:rsid w:val="00196AAA"/>
    <w:rsid w:val="00197A92"/>
    <w:rsid w:val="001A04A7"/>
    <w:rsid w:val="001A0FFE"/>
    <w:rsid w:val="001A2559"/>
    <w:rsid w:val="001A2CEB"/>
    <w:rsid w:val="001A3036"/>
    <w:rsid w:val="001A5C7B"/>
    <w:rsid w:val="001A6009"/>
    <w:rsid w:val="001A78B9"/>
    <w:rsid w:val="001B7F1F"/>
    <w:rsid w:val="001C0EDF"/>
    <w:rsid w:val="001C12CA"/>
    <w:rsid w:val="001C405C"/>
    <w:rsid w:val="001C42D0"/>
    <w:rsid w:val="001C4DB5"/>
    <w:rsid w:val="001C60B7"/>
    <w:rsid w:val="001C768A"/>
    <w:rsid w:val="001D175B"/>
    <w:rsid w:val="001D4C65"/>
    <w:rsid w:val="001D6D5A"/>
    <w:rsid w:val="001E34EC"/>
    <w:rsid w:val="001E671C"/>
    <w:rsid w:val="001E7422"/>
    <w:rsid w:val="001F20F4"/>
    <w:rsid w:val="001F42FE"/>
    <w:rsid w:val="001F5D59"/>
    <w:rsid w:val="001F6AE0"/>
    <w:rsid w:val="001F7AA0"/>
    <w:rsid w:val="00200EC9"/>
    <w:rsid w:val="002018AF"/>
    <w:rsid w:val="00203776"/>
    <w:rsid w:val="00204D72"/>
    <w:rsid w:val="00206937"/>
    <w:rsid w:val="0021259B"/>
    <w:rsid w:val="00213242"/>
    <w:rsid w:val="00214D5B"/>
    <w:rsid w:val="002153D6"/>
    <w:rsid w:val="00215840"/>
    <w:rsid w:val="002159C1"/>
    <w:rsid w:val="00215C10"/>
    <w:rsid w:val="00215FBD"/>
    <w:rsid w:val="00226BBD"/>
    <w:rsid w:val="002277EA"/>
    <w:rsid w:val="00236E60"/>
    <w:rsid w:val="002375C0"/>
    <w:rsid w:val="0023793D"/>
    <w:rsid w:val="00242179"/>
    <w:rsid w:val="0024232C"/>
    <w:rsid w:val="00242CB1"/>
    <w:rsid w:val="002437A8"/>
    <w:rsid w:val="00246847"/>
    <w:rsid w:val="002474BF"/>
    <w:rsid w:val="00251F96"/>
    <w:rsid w:val="00257681"/>
    <w:rsid w:val="0026028B"/>
    <w:rsid w:val="002621BB"/>
    <w:rsid w:val="002652F8"/>
    <w:rsid w:val="0026630E"/>
    <w:rsid w:val="0027078F"/>
    <w:rsid w:val="00270A2B"/>
    <w:rsid w:val="00276476"/>
    <w:rsid w:val="0027689C"/>
    <w:rsid w:val="00276E40"/>
    <w:rsid w:val="00280F1E"/>
    <w:rsid w:val="00281874"/>
    <w:rsid w:val="00292A87"/>
    <w:rsid w:val="0029517A"/>
    <w:rsid w:val="0029674F"/>
    <w:rsid w:val="00297DB8"/>
    <w:rsid w:val="002A2EA0"/>
    <w:rsid w:val="002A49ED"/>
    <w:rsid w:val="002A508C"/>
    <w:rsid w:val="002A783A"/>
    <w:rsid w:val="002A7BAC"/>
    <w:rsid w:val="002B123D"/>
    <w:rsid w:val="002B1FB8"/>
    <w:rsid w:val="002B21C0"/>
    <w:rsid w:val="002B2215"/>
    <w:rsid w:val="002B22FD"/>
    <w:rsid w:val="002B2FA3"/>
    <w:rsid w:val="002B38D3"/>
    <w:rsid w:val="002B574F"/>
    <w:rsid w:val="002C072A"/>
    <w:rsid w:val="002C0FD6"/>
    <w:rsid w:val="002C2FA3"/>
    <w:rsid w:val="002D06D4"/>
    <w:rsid w:val="002D12DA"/>
    <w:rsid w:val="002D16FD"/>
    <w:rsid w:val="002D1A0B"/>
    <w:rsid w:val="002E21C7"/>
    <w:rsid w:val="002E3141"/>
    <w:rsid w:val="002E32DE"/>
    <w:rsid w:val="002E6591"/>
    <w:rsid w:val="002F09BD"/>
    <w:rsid w:val="002F16A3"/>
    <w:rsid w:val="002F1FB6"/>
    <w:rsid w:val="002F4305"/>
    <w:rsid w:val="002F5090"/>
    <w:rsid w:val="002F690D"/>
    <w:rsid w:val="002F7277"/>
    <w:rsid w:val="00300930"/>
    <w:rsid w:val="00302062"/>
    <w:rsid w:val="0030279A"/>
    <w:rsid w:val="00303591"/>
    <w:rsid w:val="00303B4E"/>
    <w:rsid w:val="003061E4"/>
    <w:rsid w:val="00306B3D"/>
    <w:rsid w:val="00307B8E"/>
    <w:rsid w:val="00307F13"/>
    <w:rsid w:val="00310091"/>
    <w:rsid w:val="0031164A"/>
    <w:rsid w:val="003136E6"/>
    <w:rsid w:val="00316025"/>
    <w:rsid w:val="003160A1"/>
    <w:rsid w:val="00317022"/>
    <w:rsid w:val="00320654"/>
    <w:rsid w:val="00324115"/>
    <w:rsid w:val="0032522A"/>
    <w:rsid w:val="0032674C"/>
    <w:rsid w:val="00326E7F"/>
    <w:rsid w:val="003347F0"/>
    <w:rsid w:val="00336FAE"/>
    <w:rsid w:val="0034014E"/>
    <w:rsid w:val="003438F1"/>
    <w:rsid w:val="00347577"/>
    <w:rsid w:val="003536E8"/>
    <w:rsid w:val="00353D5D"/>
    <w:rsid w:val="00354A1F"/>
    <w:rsid w:val="00357589"/>
    <w:rsid w:val="00357C4B"/>
    <w:rsid w:val="00360489"/>
    <w:rsid w:val="00364185"/>
    <w:rsid w:val="003643AB"/>
    <w:rsid w:val="003674EC"/>
    <w:rsid w:val="00367729"/>
    <w:rsid w:val="003704C8"/>
    <w:rsid w:val="003706A3"/>
    <w:rsid w:val="003739E1"/>
    <w:rsid w:val="00373A03"/>
    <w:rsid w:val="00373C11"/>
    <w:rsid w:val="00374E18"/>
    <w:rsid w:val="003762C8"/>
    <w:rsid w:val="0038288D"/>
    <w:rsid w:val="00382B8D"/>
    <w:rsid w:val="0038353B"/>
    <w:rsid w:val="003878B4"/>
    <w:rsid w:val="00387C32"/>
    <w:rsid w:val="00391C16"/>
    <w:rsid w:val="0039289A"/>
    <w:rsid w:val="003947A3"/>
    <w:rsid w:val="00397028"/>
    <w:rsid w:val="003972F2"/>
    <w:rsid w:val="003A0928"/>
    <w:rsid w:val="003A102F"/>
    <w:rsid w:val="003A114A"/>
    <w:rsid w:val="003A384F"/>
    <w:rsid w:val="003A3CE4"/>
    <w:rsid w:val="003A7888"/>
    <w:rsid w:val="003B1CAA"/>
    <w:rsid w:val="003B270D"/>
    <w:rsid w:val="003B371E"/>
    <w:rsid w:val="003B3940"/>
    <w:rsid w:val="003B6B7D"/>
    <w:rsid w:val="003C3408"/>
    <w:rsid w:val="003C47B5"/>
    <w:rsid w:val="003D0E07"/>
    <w:rsid w:val="003D3370"/>
    <w:rsid w:val="003D3B48"/>
    <w:rsid w:val="003D547E"/>
    <w:rsid w:val="003D6007"/>
    <w:rsid w:val="003E10AE"/>
    <w:rsid w:val="003E436D"/>
    <w:rsid w:val="003E62BA"/>
    <w:rsid w:val="003E6F81"/>
    <w:rsid w:val="003F768C"/>
    <w:rsid w:val="00400281"/>
    <w:rsid w:val="00403475"/>
    <w:rsid w:val="00405AC0"/>
    <w:rsid w:val="00411DFA"/>
    <w:rsid w:val="0041261D"/>
    <w:rsid w:val="004131E7"/>
    <w:rsid w:val="00414A4F"/>
    <w:rsid w:val="004209E7"/>
    <w:rsid w:val="004230A5"/>
    <w:rsid w:val="00423DAB"/>
    <w:rsid w:val="00426AFD"/>
    <w:rsid w:val="00433055"/>
    <w:rsid w:val="00433D35"/>
    <w:rsid w:val="004416DE"/>
    <w:rsid w:val="004421F7"/>
    <w:rsid w:val="00445100"/>
    <w:rsid w:val="004463B4"/>
    <w:rsid w:val="00446412"/>
    <w:rsid w:val="00447276"/>
    <w:rsid w:val="0045113A"/>
    <w:rsid w:val="00452706"/>
    <w:rsid w:val="004538F3"/>
    <w:rsid w:val="00460A2A"/>
    <w:rsid w:val="004635EF"/>
    <w:rsid w:val="00463E6A"/>
    <w:rsid w:val="00464A81"/>
    <w:rsid w:val="00465BAE"/>
    <w:rsid w:val="004724F7"/>
    <w:rsid w:val="00477220"/>
    <w:rsid w:val="0048138C"/>
    <w:rsid w:val="00482B8C"/>
    <w:rsid w:val="0048366A"/>
    <w:rsid w:val="00483A79"/>
    <w:rsid w:val="00486A79"/>
    <w:rsid w:val="004871F6"/>
    <w:rsid w:val="00487AFD"/>
    <w:rsid w:val="00491B29"/>
    <w:rsid w:val="00494ECF"/>
    <w:rsid w:val="00496E6E"/>
    <w:rsid w:val="004A1851"/>
    <w:rsid w:val="004A3396"/>
    <w:rsid w:val="004A34FA"/>
    <w:rsid w:val="004A3BDB"/>
    <w:rsid w:val="004A40FE"/>
    <w:rsid w:val="004A6524"/>
    <w:rsid w:val="004A6B61"/>
    <w:rsid w:val="004C0A11"/>
    <w:rsid w:val="004C2B3A"/>
    <w:rsid w:val="004C343A"/>
    <w:rsid w:val="004D05A5"/>
    <w:rsid w:val="004D0726"/>
    <w:rsid w:val="004D1286"/>
    <w:rsid w:val="004D2DA5"/>
    <w:rsid w:val="004D4F80"/>
    <w:rsid w:val="004D78C5"/>
    <w:rsid w:val="004E0625"/>
    <w:rsid w:val="004E1159"/>
    <w:rsid w:val="004E1517"/>
    <w:rsid w:val="004E25EA"/>
    <w:rsid w:val="004E3B81"/>
    <w:rsid w:val="004E69D7"/>
    <w:rsid w:val="004F03AF"/>
    <w:rsid w:val="004F0539"/>
    <w:rsid w:val="004F3E95"/>
    <w:rsid w:val="004F421C"/>
    <w:rsid w:val="004F4FDD"/>
    <w:rsid w:val="004F6295"/>
    <w:rsid w:val="004F7C3E"/>
    <w:rsid w:val="005002B9"/>
    <w:rsid w:val="00500314"/>
    <w:rsid w:val="00502190"/>
    <w:rsid w:val="00502C9B"/>
    <w:rsid w:val="00503784"/>
    <w:rsid w:val="00507BFE"/>
    <w:rsid w:val="00510540"/>
    <w:rsid w:val="00510B75"/>
    <w:rsid w:val="005144BF"/>
    <w:rsid w:val="00517BEF"/>
    <w:rsid w:val="00520D24"/>
    <w:rsid w:val="00523D9F"/>
    <w:rsid w:val="0052426A"/>
    <w:rsid w:val="00531611"/>
    <w:rsid w:val="00532F9D"/>
    <w:rsid w:val="005339BF"/>
    <w:rsid w:val="0053404B"/>
    <w:rsid w:val="0053504D"/>
    <w:rsid w:val="0054266C"/>
    <w:rsid w:val="00542FE8"/>
    <w:rsid w:val="00547F63"/>
    <w:rsid w:val="00553E3C"/>
    <w:rsid w:val="0055667E"/>
    <w:rsid w:val="00557C2C"/>
    <w:rsid w:val="0056011B"/>
    <w:rsid w:val="00560E8A"/>
    <w:rsid w:val="00561DC5"/>
    <w:rsid w:val="00564E17"/>
    <w:rsid w:val="00565E60"/>
    <w:rsid w:val="00571DD1"/>
    <w:rsid w:val="00572096"/>
    <w:rsid w:val="00572619"/>
    <w:rsid w:val="00575553"/>
    <w:rsid w:val="00582D9E"/>
    <w:rsid w:val="005830C2"/>
    <w:rsid w:val="00584686"/>
    <w:rsid w:val="00585537"/>
    <w:rsid w:val="00591294"/>
    <w:rsid w:val="00595463"/>
    <w:rsid w:val="00595788"/>
    <w:rsid w:val="005A0278"/>
    <w:rsid w:val="005A0E4B"/>
    <w:rsid w:val="005A5E53"/>
    <w:rsid w:val="005A62A7"/>
    <w:rsid w:val="005A6CC1"/>
    <w:rsid w:val="005A7FB5"/>
    <w:rsid w:val="005B036E"/>
    <w:rsid w:val="005B12D2"/>
    <w:rsid w:val="005B57E3"/>
    <w:rsid w:val="005B76F4"/>
    <w:rsid w:val="005C55C0"/>
    <w:rsid w:val="005D1687"/>
    <w:rsid w:val="005D3086"/>
    <w:rsid w:val="005D38A9"/>
    <w:rsid w:val="005D435B"/>
    <w:rsid w:val="005D6715"/>
    <w:rsid w:val="005E1A70"/>
    <w:rsid w:val="005E2971"/>
    <w:rsid w:val="005E5F66"/>
    <w:rsid w:val="005E6424"/>
    <w:rsid w:val="005F2F08"/>
    <w:rsid w:val="005F5F17"/>
    <w:rsid w:val="005F791D"/>
    <w:rsid w:val="005FC7ED"/>
    <w:rsid w:val="005FDB72"/>
    <w:rsid w:val="006011F0"/>
    <w:rsid w:val="00601C3C"/>
    <w:rsid w:val="00603495"/>
    <w:rsid w:val="006049AD"/>
    <w:rsid w:val="0060732D"/>
    <w:rsid w:val="006140C8"/>
    <w:rsid w:val="006143C4"/>
    <w:rsid w:val="0061780E"/>
    <w:rsid w:val="00621807"/>
    <w:rsid w:val="00622529"/>
    <w:rsid w:val="006266D4"/>
    <w:rsid w:val="006310D8"/>
    <w:rsid w:val="006363EE"/>
    <w:rsid w:val="00642533"/>
    <w:rsid w:val="00642F74"/>
    <w:rsid w:val="00651A09"/>
    <w:rsid w:val="0065294A"/>
    <w:rsid w:val="006545D3"/>
    <w:rsid w:val="00656186"/>
    <w:rsid w:val="006571ED"/>
    <w:rsid w:val="0066084D"/>
    <w:rsid w:val="006622C4"/>
    <w:rsid w:val="00665FB2"/>
    <w:rsid w:val="006664CA"/>
    <w:rsid w:val="00672B18"/>
    <w:rsid w:val="00677112"/>
    <w:rsid w:val="00677957"/>
    <w:rsid w:val="00677EB6"/>
    <w:rsid w:val="00681260"/>
    <w:rsid w:val="00683016"/>
    <w:rsid w:val="0069134E"/>
    <w:rsid w:val="006921F9"/>
    <w:rsid w:val="00696AA4"/>
    <w:rsid w:val="00696C03"/>
    <w:rsid w:val="00697046"/>
    <w:rsid w:val="006A0227"/>
    <w:rsid w:val="006A0B2A"/>
    <w:rsid w:val="006A47A0"/>
    <w:rsid w:val="006A5BC7"/>
    <w:rsid w:val="006A65A2"/>
    <w:rsid w:val="006A74CE"/>
    <w:rsid w:val="006A7FC8"/>
    <w:rsid w:val="006B0354"/>
    <w:rsid w:val="006B5577"/>
    <w:rsid w:val="006C3B66"/>
    <w:rsid w:val="006C44CC"/>
    <w:rsid w:val="006C561E"/>
    <w:rsid w:val="006D022E"/>
    <w:rsid w:val="006D09AB"/>
    <w:rsid w:val="006D257F"/>
    <w:rsid w:val="006E0467"/>
    <w:rsid w:val="006E16EA"/>
    <w:rsid w:val="006E2CBE"/>
    <w:rsid w:val="006E684F"/>
    <w:rsid w:val="006F0364"/>
    <w:rsid w:val="006F1278"/>
    <w:rsid w:val="006F1794"/>
    <w:rsid w:val="00703707"/>
    <w:rsid w:val="007057BD"/>
    <w:rsid w:val="007109C9"/>
    <w:rsid w:val="007127AC"/>
    <w:rsid w:val="0071439B"/>
    <w:rsid w:val="007150A2"/>
    <w:rsid w:val="007208D5"/>
    <w:rsid w:val="0072384F"/>
    <w:rsid w:val="00726047"/>
    <w:rsid w:val="0072752E"/>
    <w:rsid w:val="00727AED"/>
    <w:rsid w:val="007308EF"/>
    <w:rsid w:val="00734AD6"/>
    <w:rsid w:val="007372B4"/>
    <w:rsid w:val="007372E8"/>
    <w:rsid w:val="007374EC"/>
    <w:rsid w:val="00737ADF"/>
    <w:rsid w:val="007414BA"/>
    <w:rsid w:val="00742AEE"/>
    <w:rsid w:val="007432AF"/>
    <w:rsid w:val="0074332F"/>
    <w:rsid w:val="0074423A"/>
    <w:rsid w:val="00744B6E"/>
    <w:rsid w:val="007457BA"/>
    <w:rsid w:val="007503D5"/>
    <w:rsid w:val="007503F3"/>
    <w:rsid w:val="00750C9C"/>
    <w:rsid w:val="007513CA"/>
    <w:rsid w:val="00751A97"/>
    <w:rsid w:val="00753C02"/>
    <w:rsid w:val="00757395"/>
    <w:rsid w:val="00757B95"/>
    <w:rsid w:val="0076009A"/>
    <w:rsid w:val="00762364"/>
    <w:rsid w:val="0076243F"/>
    <w:rsid w:val="00764017"/>
    <w:rsid w:val="00767BB3"/>
    <w:rsid w:val="007713C2"/>
    <w:rsid w:val="00771726"/>
    <w:rsid w:val="0077485E"/>
    <w:rsid w:val="00775C2A"/>
    <w:rsid w:val="00784E80"/>
    <w:rsid w:val="00790D69"/>
    <w:rsid w:val="00794369"/>
    <w:rsid w:val="00794E0A"/>
    <w:rsid w:val="00795056"/>
    <w:rsid w:val="007A067A"/>
    <w:rsid w:val="007A71E2"/>
    <w:rsid w:val="007B00D6"/>
    <w:rsid w:val="007B3894"/>
    <w:rsid w:val="007B42D7"/>
    <w:rsid w:val="007B5785"/>
    <w:rsid w:val="007B5B20"/>
    <w:rsid w:val="007B5F82"/>
    <w:rsid w:val="007B697D"/>
    <w:rsid w:val="007C21E2"/>
    <w:rsid w:val="007C2624"/>
    <w:rsid w:val="007C3F4E"/>
    <w:rsid w:val="007C44A4"/>
    <w:rsid w:val="007C5514"/>
    <w:rsid w:val="007C5ACC"/>
    <w:rsid w:val="007C60F4"/>
    <w:rsid w:val="007D00D1"/>
    <w:rsid w:val="007D01D6"/>
    <w:rsid w:val="007D15AE"/>
    <w:rsid w:val="007D2EB1"/>
    <w:rsid w:val="007D747C"/>
    <w:rsid w:val="007D7C1F"/>
    <w:rsid w:val="007E48A6"/>
    <w:rsid w:val="007E6EDD"/>
    <w:rsid w:val="007E777E"/>
    <w:rsid w:val="007F102E"/>
    <w:rsid w:val="007F2EB8"/>
    <w:rsid w:val="007F3D19"/>
    <w:rsid w:val="007F46FE"/>
    <w:rsid w:val="007F512C"/>
    <w:rsid w:val="007F55B9"/>
    <w:rsid w:val="007F5BC2"/>
    <w:rsid w:val="007F7255"/>
    <w:rsid w:val="00801AB6"/>
    <w:rsid w:val="0080343F"/>
    <w:rsid w:val="0080355F"/>
    <w:rsid w:val="008102C1"/>
    <w:rsid w:val="008162C1"/>
    <w:rsid w:val="0081679D"/>
    <w:rsid w:val="0081702B"/>
    <w:rsid w:val="008176B2"/>
    <w:rsid w:val="00824B08"/>
    <w:rsid w:val="00824B56"/>
    <w:rsid w:val="008302B8"/>
    <w:rsid w:val="00831755"/>
    <w:rsid w:val="00832476"/>
    <w:rsid w:val="00832D2D"/>
    <w:rsid w:val="00833D74"/>
    <w:rsid w:val="00835AA8"/>
    <w:rsid w:val="00836E6E"/>
    <w:rsid w:val="00841E71"/>
    <w:rsid w:val="00845F7F"/>
    <w:rsid w:val="00846505"/>
    <w:rsid w:val="00850697"/>
    <w:rsid w:val="00850F1D"/>
    <w:rsid w:val="00853DE3"/>
    <w:rsid w:val="00855C47"/>
    <w:rsid w:val="008570E3"/>
    <w:rsid w:val="00860387"/>
    <w:rsid w:val="00860DAA"/>
    <w:rsid w:val="00861E30"/>
    <w:rsid w:val="008634CE"/>
    <w:rsid w:val="00864F76"/>
    <w:rsid w:val="00866190"/>
    <w:rsid w:val="00873034"/>
    <w:rsid w:val="00873BE7"/>
    <w:rsid w:val="0087568C"/>
    <w:rsid w:val="00875AA2"/>
    <w:rsid w:val="00877F20"/>
    <w:rsid w:val="00892677"/>
    <w:rsid w:val="008932B0"/>
    <w:rsid w:val="008935E6"/>
    <w:rsid w:val="00894106"/>
    <w:rsid w:val="00894731"/>
    <w:rsid w:val="008948A9"/>
    <w:rsid w:val="00895DF6"/>
    <w:rsid w:val="00896E57"/>
    <w:rsid w:val="008A04EC"/>
    <w:rsid w:val="008A2AC9"/>
    <w:rsid w:val="008A77D7"/>
    <w:rsid w:val="008B1748"/>
    <w:rsid w:val="008B3766"/>
    <w:rsid w:val="008B4B8E"/>
    <w:rsid w:val="008B650B"/>
    <w:rsid w:val="008B65AA"/>
    <w:rsid w:val="008C178A"/>
    <w:rsid w:val="008C2786"/>
    <w:rsid w:val="008C51D8"/>
    <w:rsid w:val="008C72AF"/>
    <w:rsid w:val="008D21C4"/>
    <w:rsid w:val="008D2EAC"/>
    <w:rsid w:val="008D4513"/>
    <w:rsid w:val="008E34A7"/>
    <w:rsid w:val="008E41C7"/>
    <w:rsid w:val="008E579C"/>
    <w:rsid w:val="008E7821"/>
    <w:rsid w:val="008E7C71"/>
    <w:rsid w:val="008F266B"/>
    <w:rsid w:val="008F2B3B"/>
    <w:rsid w:val="008F531C"/>
    <w:rsid w:val="008F6091"/>
    <w:rsid w:val="0090368B"/>
    <w:rsid w:val="00906088"/>
    <w:rsid w:val="00910773"/>
    <w:rsid w:val="00914101"/>
    <w:rsid w:val="009155FC"/>
    <w:rsid w:val="009159E5"/>
    <w:rsid w:val="0091697E"/>
    <w:rsid w:val="00920C73"/>
    <w:rsid w:val="00921582"/>
    <w:rsid w:val="00922F33"/>
    <w:rsid w:val="0092341A"/>
    <w:rsid w:val="00923528"/>
    <w:rsid w:val="009245B3"/>
    <w:rsid w:val="009305BB"/>
    <w:rsid w:val="009318E5"/>
    <w:rsid w:val="0093282C"/>
    <w:rsid w:val="00941833"/>
    <w:rsid w:val="0094697E"/>
    <w:rsid w:val="00950CC6"/>
    <w:rsid w:val="009511D3"/>
    <w:rsid w:val="0095237A"/>
    <w:rsid w:val="009542EC"/>
    <w:rsid w:val="00960831"/>
    <w:rsid w:val="00960C60"/>
    <w:rsid w:val="00961382"/>
    <w:rsid w:val="00962B4D"/>
    <w:rsid w:val="00964B40"/>
    <w:rsid w:val="009678CD"/>
    <w:rsid w:val="00973926"/>
    <w:rsid w:val="00973BAA"/>
    <w:rsid w:val="00976001"/>
    <w:rsid w:val="0097675A"/>
    <w:rsid w:val="00980321"/>
    <w:rsid w:val="0098739F"/>
    <w:rsid w:val="0099035F"/>
    <w:rsid w:val="009A013A"/>
    <w:rsid w:val="009A7FB1"/>
    <w:rsid w:val="009B1944"/>
    <w:rsid w:val="009B2268"/>
    <w:rsid w:val="009B25D8"/>
    <w:rsid w:val="009B47DE"/>
    <w:rsid w:val="009B7AF2"/>
    <w:rsid w:val="009C0D7E"/>
    <w:rsid w:val="009D087B"/>
    <w:rsid w:val="009D247F"/>
    <w:rsid w:val="009D3769"/>
    <w:rsid w:val="009D7870"/>
    <w:rsid w:val="009E1AC7"/>
    <w:rsid w:val="009E54A6"/>
    <w:rsid w:val="009E6E87"/>
    <w:rsid w:val="009F0F4D"/>
    <w:rsid w:val="009F1E14"/>
    <w:rsid w:val="009F616C"/>
    <w:rsid w:val="009F7816"/>
    <w:rsid w:val="00A0112F"/>
    <w:rsid w:val="00A06FB3"/>
    <w:rsid w:val="00A114F2"/>
    <w:rsid w:val="00A1591E"/>
    <w:rsid w:val="00A177B5"/>
    <w:rsid w:val="00A17B40"/>
    <w:rsid w:val="00A21693"/>
    <w:rsid w:val="00A22D93"/>
    <w:rsid w:val="00A245BB"/>
    <w:rsid w:val="00A24863"/>
    <w:rsid w:val="00A255D8"/>
    <w:rsid w:val="00A2699B"/>
    <w:rsid w:val="00A26D39"/>
    <w:rsid w:val="00A2769F"/>
    <w:rsid w:val="00A27F50"/>
    <w:rsid w:val="00A30CE5"/>
    <w:rsid w:val="00A35102"/>
    <w:rsid w:val="00A41072"/>
    <w:rsid w:val="00A417C6"/>
    <w:rsid w:val="00A44A61"/>
    <w:rsid w:val="00A45A23"/>
    <w:rsid w:val="00A47A73"/>
    <w:rsid w:val="00A51327"/>
    <w:rsid w:val="00A51430"/>
    <w:rsid w:val="00A5198A"/>
    <w:rsid w:val="00A56139"/>
    <w:rsid w:val="00A622B8"/>
    <w:rsid w:val="00A636A8"/>
    <w:rsid w:val="00A65B48"/>
    <w:rsid w:val="00A66EB7"/>
    <w:rsid w:val="00A73CC5"/>
    <w:rsid w:val="00A811A9"/>
    <w:rsid w:val="00A8270E"/>
    <w:rsid w:val="00A82F59"/>
    <w:rsid w:val="00A83468"/>
    <w:rsid w:val="00A85E72"/>
    <w:rsid w:val="00A902A6"/>
    <w:rsid w:val="00A907EE"/>
    <w:rsid w:val="00A92A3E"/>
    <w:rsid w:val="00A930D2"/>
    <w:rsid w:val="00A95614"/>
    <w:rsid w:val="00A96590"/>
    <w:rsid w:val="00A9725E"/>
    <w:rsid w:val="00A973B7"/>
    <w:rsid w:val="00A976B3"/>
    <w:rsid w:val="00AA1022"/>
    <w:rsid w:val="00AA1645"/>
    <w:rsid w:val="00AA37B1"/>
    <w:rsid w:val="00AA5EA2"/>
    <w:rsid w:val="00AA68F0"/>
    <w:rsid w:val="00AB60E2"/>
    <w:rsid w:val="00AB6913"/>
    <w:rsid w:val="00AC214B"/>
    <w:rsid w:val="00AC28DA"/>
    <w:rsid w:val="00AC2AE5"/>
    <w:rsid w:val="00AC336F"/>
    <w:rsid w:val="00AC3506"/>
    <w:rsid w:val="00AC7D6A"/>
    <w:rsid w:val="00AD08F0"/>
    <w:rsid w:val="00AD26FE"/>
    <w:rsid w:val="00AD47DC"/>
    <w:rsid w:val="00AD71F1"/>
    <w:rsid w:val="00AE1AB4"/>
    <w:rsid w:val="00AE4A3F"/>
    <w:rsid w:val="00AE66A6"/>
    <w:rsid w:val="00AE6ACB"/>
    <w:rsid w:val="00AE7FC1"/>
    <w:rsid w:val="00B00207"/>
    <w:rsid w:val="00B01D47"/>
    <w:rsid w:val="00B01D58"/>
    <w:rsid w:val="00B022B1"/>
    <w:rsid w:val="00B047EE"/>
    <w:rsid w:val="00B04F80"/>
    <w:rsid w:val="00B05FF9"/>
    <w:rsid w:val="00B1069C"/>
    <w:rsid w:val="00B13FD4"/>
    <w:rsid w:val="00B14608"/>
    <w:rsid w:val="00B15AF5"/>
    <w:rsid w:val="00B176DE"/>
    <w:rsid w:val="00B17737"/>
    <w:rsid w:val="00B20690"/>
    <w:rsid w:val="00B21AAB"/>
    <w:rsid w:val="00B22084"/>
    <w:rsid w:val="00B2353A"/>
    <w:rsid w:val="00B25A71"/>
    <w:rsid w:val="00B30BBD"/>
    <w:rsid w:val="00B3375B"/>
    <w:rsid w:val="00B34058"/>
    <w:rsid w:val="00B34D94"/>
    <w:rsid w:val="00B36C12"/>
    <w:rsid w:val="00B37ECE"/>
    <w:rsid w:val="00B465D6"/>
    <w:rsid w:val="00B46DC8"/>
    <w:rsid w:val="00B51DAA"/>
    <w:rsid w:val="00B52F52"/>
    <w:rsid w:val="00B60BC6"/>
    <w:rsid w:val="00B6255C"/>
    <w:rsid w:val="00B636BD"/>
    <w:rsid w:val="00B66AC4"/>
    <w:rsid w:val="00B70457"/>
    <w:rsid w:val="00B73F82"/>
    <w:rsid w:val="00B7785B"/>
    <w:rsid w:val="00B81897"/>
    <w:rsid w:val="00B8198F"/>
    <w:rsid w:val="00B84EA9"/>
    <w:rsid w:val="00B86ED6"/>
    <w:rsid w:val="00B931F3"/>
    <w:rsid w:val="00B93EB4"/>
    <w:rsid w:val="00B9404F"/>
    <w:rsid w:val="00B9508D"/>
    <w:rsid w:val="00B9669F"/>
    <w:rsid w:val="00BA2CEB"/>
    <w:rsid w:val="00BB19A1"/>
    <w:rsid w:val="00BB6701"/>
    <w:rsid w:val="00BC0A1F"/>
    <w:rsid w:val="00BC468E"/>
    <w:rsid w:val="00BC60D7"/>
    <w:rsid w:val="00BD34F2"/>
    <w:rsid w:val="00BD3E80"/>
    <w:rsid w:val="00BD4A59"/>
    <w:rsid w:val="00BD4B63"/>
    <w:rsid w:val="00BD58F8"/>
    <w:rsid w:val="00BD7785"/>
    <w:rsid w:val="00BE0785"/>
    <w:rsid w:val="00BE2A26"/>
    <w:rsid w:val="00BE2F80"/>
    <w:rsid w:val="00BE6264"/>
    <w:rsid w:val="00BF00E1"/>
    <w:rsid w:val="00BF150F"/>
    <w:rsid w:val="00BF268C"/>
    <w:rsid w:val="00BF2786"/>
    <w:rsid w:val="00BF714B"/>
    <w:rsid w:val="00BF71C1"/>
    <w:rsid w:val="00C013D5"/>
    <w:rsid w:val="00C0262F"/>
    <w:rsid w:val="00C034E3"/>
    <w:rsid w:val="00C03711"/>
    <w:rsid w:val="00C03C38"/>
    <w:rsid w:val="00C0469A"/>
    <w:rsid w:val="00C05908"/>
    <w:rsid w:val="00C063FF"/>
    <w:rsid w:val="00C10E8B"/>
    <w:rsid w:val="00C11369"/>
    <w:rsid w:val="00C13D24"/>
    <w:rsid w:val="00C142C7"/>
    <w:rsid w:val="00C14486"/>
    <w:rsid w:val="00C1619D"/>
    <w:rsid w:val="00C16A85"/>
    <w:rsid w:val="00C1748A"/>
    <w:rsid w:val="00C22C47"/>
    <w:rsid w:val="00C2311A"/>
    <w:rsid w:val="00C2337D"/>
    <w:rsid w:val="00C23F60"/>
    <w:rsid w:val="00C26BCA"/>
    <w:rsid w:val="00C31539"/>
    <w:rsid w:val="00C31A6A"/>
    <w:rsid w:val="00C31D15"/>
    <w:rsid w:val="00C32CAC"/>
    <w:rsid w:val="00C33791"/>
    <w:rsid w:val="00C35790"/>
    <w:rsid w:val="00C40DE1"/>
    <w:rsid w:val="00C45D05"/>
    <w:rsid w:val="00C50CB8"/>
    <w:rsid w:val="00C50D97"/>
    <w:rsid w:val="00C51858"/>
    <w:rsid w:val="00C52042"/>
    <w:rsid w:val="00C5217D"/>
    <w:rsid w:val="00C55627"/>
    <w:rsid w:val="00C56E9D"/>
    <w:rsid w:val="00C5739F"/>
    <w:rsid w:val="00C57BAC"/>
    <w:rsid w:val="00C673D4"/>
    <w:rsid w:val="00C703E8"/>
    <w:rsid w:val="00C71289"/>
    <w:rsid w:val="00C7145E"/>
    <w:rsid w:val="00C714BD"/>
    <w:rsid w:val="00C736BC"/>
    <w:rsid w:val="00C75D67"/>
    <w:rsid w:val="00C76062"/>
    <w:rsid w:val="00C76216"/>
    <w:rsid w:val="00C77BB0"/>
    <w:rsid w:val="00C8243A"/>
    <w:rsid w:val="00C829A2"/>
    <w:rsid w:val="00C83434"/>
    <w:rsid w:val="00C855E6"/>
    <w:rsid w:val="00C867E3"/>
    <w:rsid w:val="00C86FEF"/>
    <w:rsid w:val="00C91619"/>
    <w:rsid w:val="00C91BDB"/>
    <w:rsid w:val="00C92293"/>
    <w:rsid w:val="00C92AEB"/>
    <w:rsid w:val="00C96935"/>
    <w:rsid w:val="00CA0AF9"/>
    <w:rsid w:val="00CA6A4F"/>
    <w:rsid w:val="00CA6D83"/>
    <w:rsid w:val="00CB1515"/>
    <w:rsid w:val="00CB5202"/>
    <w:rsid w:val="00CB5E9A"/>
    <w:rsid w:val="00CB5F4F"/>
    <w:rsid w:val="00CB6BED"/>
    <w:rsid w:val="00CB7C5D"/>
    <w:rsid w:val="00CB7F16"/>
    <w:rsid w:val="00CC1A35"/>
    <w:rsid w:val="00CC2C2F"/>
    <w:rsid w:val="00CC3ACF"/>
    <w:rsid w:val="00CC3D7A"/>
    <w:rsid w:val="00CD080F"/>
    <w:rsid w:val="00CD0D49"/>
    <w:rsid w:val="00CD1441"/>
    <w:rsid w:val="00CD2427"/>
    <w:rsid w:val="00CD5966"/>
    <w:rsid w:val="00CE1DAF"/>
    <w:rsid w:val="00CE4934"/>
    <w:rsid w:val="00CE5C6B"/>
    <w:rsid w:val="00CF1D8E"/>
    <w:rsid w:val="00CF2E23"/>
    <w:rsid w:val="00CF46FB"/>
    <w:rsid w:val="00CF6777"/>
    <w:rsid w:val="00CF6E0E"/>
    <w:rsid w:val="00CF7C4A"/>
    <w:rsid w:val="00D0242E"/>
    <w:rsid w:val="00D02BB0"/>
    <w:rsid w:val="00D02BFC"/>
    <w:rsid w:val="00D077F9"/>
    <w:rsid w:val="00D14191"/>
    <w:rsid w:val="00D15559"/>
    <w:rsid w:val="00D17F9D"/>
    <w:rsid w:val="00D2196C"/>
    <w:rsid w:val="00D249B5"/>
    <w:rsid w:val="00D262DD"/>
    <w:rsid w:val="00D27D56"/>
    <w:rsid w:val="00D302C4"/>
    <w:rsid w:val="00D33BD6"/>
    <w:rsid w:val="00D41121"/>
    <w:rsid w:val="00D412F2"/>
    <w:rsid w:val="00D439AD"/>
    <w:rsid w:val="00D43F21"/>
    <w:rsid w:val="00D446B0"/>
    <w:rsid w:val="00D45B4E"/>
    <w:rsid w:val="00D45D85"/>
    <w:rsid w:val="00D47377"/>
    <w:rsid w:val="00D5109F"/>
    <w:rsid w:val="00D5245D"/>
    <w:rsid w:val="00D5349C"/>
    <w:rsid w:val="00D53A03"/>
    <w:rsid w:val="00D54214"/>
    <w:rsid w:val="00D56EFB"/>
    <w:rsid w:val="00D57A68"/>
    <w:rsid w:val="00D57C02"/>
    <w:rsid w:val="00D57D4F"/>
    <w:rsid w:val="00D60464"/>
    <w:rsid w:val="00D6179C"/>
    <w:rsid w:val="00D6228F"/>
    <w:rsid w:val="00D67206"/>
    <w:rsid w:val="00D72F97"/>
    <w:rsid w:val="00D7585B"/>
    <w:rsid w:val="00D85954"/>
    <w:rsid w:val="00D87EA7"/>
    <w:rsid w:val="00D9172F"/>
    <w:rsid w:val="00D929BE"/>
    <w:rsid w:val="00D92E1F"/>
    <w:rsid w:val="00D9617C"/>
    <w:rsid w:val="00DA16A2"/>
    <w:rsid w:val="00DA2D77"/>
    <w:rsid w:val="00DA3A78"/>
    <w:rsid w:val="00DA404B"/>
    <w:rsid w:val="00DA6351"/>
    <w:rsid w:val="00DB1756"/>
    <w:rsid w:val="00DB184B"/>
    <w:rsid w:val="00DB20DB"/>
    <w:rsid w:val="00DB218B"/>
    <w:rsid w:val="00DB594C"/>
    <w:rsid w:val="00DB65E1"/>
    <w:rsid w:val="00DB69F8"/>
    <w:rsid w:val="00DC382C"/>
    <w:rsid w:val="00DC43EE"/>
    <w:rsid w:val="00DC78ED"/>
    <w:rsid w:val="00DC79D2"/>
    <w:rsid w:val="00DD1A5D"/>
    <w:rsid w:val="00DD2225"/>
    <w:rsid w:val="00DE1EB3"/>
    <w:rsid w:val="00DE5C2E"/>
    <w:rsid w:val="00DE7D42"/>
    <w:rsid w:val="00DF2017"/>
    <w:rsid w:val="00DF48D3"/>
    <w:rsid w:val="00DF530E"/>
    <w:rsid w:val="00DF6479"/>
    <w:rsid w:val="00E01D58"/>
    <w:rsid w:val="00E0285A"/>
    <w:rsid w:val="00E13A84"/>
    <w:rsid w:val="00E15D87"/>
    <w:rsid w:val="00E21A38"/>
    <w:rsid w:val="00E30EB3"/>
    <w:rsid w:val="00E357D9"/>
    <w:rsid w:val="00E35EEB"/>
    <w:rsid w:val="00E360E8"/>
    <w:rsid w:val="00E3616C"/>
    <w:rsid w:val="00E36462"/>
    <w:rsid w:val="00E372F1"/>
    <w:rsid w:val="00E374D2"/>
    <w:rsid w:val="00E37785"/>
    <w:rsid w:val="00E40DFC"/>
    <w:rsid w:val="00E42DC6"/>
    <w:rsid w:val="00E47158"/>
    <w:rsid w:val="00E476EE"/>
    <w:rsid w:val="00E50C8B"/>
    <w:rsid w:val="00E54418"/>
    <w:rsid w:val="00E544B7"/>
    <w:rsid w:val="00E54C4E"/>
    <w:rsid w:val="00E54C78"/>
    <w:rsid w:val="00E71A41"/>
    <w:rsid w:val="00E738AE"/>
    <w:rsid w:val="00E75CF7"/>
    <w:rsid w:val="00E7664B"/>
    <w:rsid w:val="00E81013"/>
    <w:rsid w:val="00E8114E"/>
    <w:rsid w:val="00E8406C"/>
    <w:rsid w:val="00E840FC"/>
    <w:rsid w:val="00E84B32"/>
    <w:rsid w:val="00E8729C"/>
    <w:rsid w:val="00E9274C"/>
    <w:rsid w:val="00E92E6B"/>
    <w:rsid w:val="00E95BE2"/>
    <w:rsid w:val="00EA0B47"/>
    <w:rsid w:val="00EA2D8D"/>
    <w:rsid w:val="00EA36A3"/>
    <w:rsid w:val="00EA7DBB"/>
    <w:rsid w:val="00EB14CA"/>
    <w:rsid w:val="00EB4318"/>
    <w:rsid w:val="00EB4D9D"/>
    <w:rsid w:val="00EC09B5"/>
    <w:rsid w:val="00EC09D7"/>
    <w:rsid w:val="00EC1F1E"/>
    <w:rsid w:val="00EC355D"/>
    <w:rsid w:val="00EC56B8"/>
    <w:rsid w:val="00EC6B31"/>
    <w:rsid w:val="00ED2D05"/>
    <w:rsid w:val="00ED47FE"/>
    <w:rsid w:val="00ED75A1"/>
    <w:rsid w:val="00EE1D63"/>
    <w:rsid w:val="00EE2B10"/>
    <w:rsid w:val="00EE56D9"/>
    <w:rsid w:val="00EE6408"/>
    <w:rsid w:val="00EF2911"/>
    <w:rsid w:val="00F02617"/>
    <w:rsid w:val="00F03F16"/>
    <w:rsid w:val="00F04170"/>
    <w:rsid w:val="00F04D62"/>
    <w:rsid w:val="00F05277"/>
    <w:rsid w:val="00F06831"/>
    <w:rsid w:val="00F068AE"/>
    <w:rsid w:val="00F11470"/>
    <w:rsid w:val="00F21466"/>
    <w:rsid w:val="00F2171E"/>
    <w:rsid w:val="00F23641"/>
    <w:rsid w:val="00F24D6A"/>
    <w:rsid w:val="00F26DFC"/>
    <w:rsid w:val="00F270BB"/>
    <w:rsid w:val="00F31132"/>
    <w:rsid w:val="00F33608"/>
    <w:rsid w:val="00F35848"/>
    <w:rsid w:val="00F37F1F"/>
    <w:rsid w:val="00F410F8"/>
    <w:rsid w:val="00F41477"/>
    <w:rsid w:val="00F47C73"/>
    <w:rsid w:val="00F52EB9"/>
    <w:rsid w:val="00F56278"/>
    <w:rsid w:val="00F604AF"/>
    <w:rsid w:val="00F61421"/>
    <w:rsid w:val="00F62413"/>
    <w:rsid w:val="00F64B79"/>
    <w:rsid w:val="00F65135"/>
    <w:rsid w:val="00F668D6"/>
    <w:rsid w:val="00F70E2B"/>
    <w:rsid w:val="00F715E3"/>
    <w:rsid w:val="00F71FED"/>
    <w:rsid w:val="00F7286D"/>
    <w:rsid w:val="00F73183"/>
    <w:rsid w:val="00F73DC2"/>
    <w:rsid w:val="00F73F56"/>
    <w:rsid w:val="00F76E69"/>
    <w:rsid w:val="00F80D1B"/>
    <w:rsid w:val="00F85E60"/>
    <w:rsid w:val="00F87A5F"/>
    <w:rsid w:val="00F90341"/>
    <w:rsid w:val="00F944F5"/>
    <w:rsid w:val="00F9671B"/>
    <w:rsid w:val="00FA0E62"/>
    <w:rsid w:val="00FA1662"/>
    <w:rsid w:val="00FA1B8A"/>
    <w:rsid w:val="00FA4999"/>
    <w:rsid w:val="00FB2471"/>
    <w:rsid w:val="00FB2799"/>
    <w:rsid w:val="00FB31D7"/>
    <w:rsid w:val="00FB3C63"/>
    <w:rsid w:val="00FC0CC8"/>
    <w:rsid w:val="00FC6975"/>
    <w:rsid w:val="00FD20CC"/>
    <w:rsid w:val="00FD2FF3"/>
    <w:rsid w:val="00FD3701"/>
    <w:rsid w:val="00FD7FA4"/>
    <w:rsid w:val="00FE0381"/>
    <w:rsid w:val="00FE265E"/>
    <w:rsid w:val="00FE3D57"/>
    <w:rsid w:val="00FE5D46"/>
    <w:rsid w:val="00FE765C"/>
    <w:rsid w:val="00FF2A1D"/>
    <w:rsid w:val="00FF4CD8"/>
    <w:rsid w:val="0112B610"/>
    <w:rsid w:val="01D41F6A"/>
    <w:rsid w:val="026F1F0C"/>
    <w:rsid w:val="02BF4EEF"/>
    <w:rsid w:val="0333A7BB"/>
    <w:rsid w:val="0333AA07"/>
    <w:rsid w:val="034B2AA4"/>
    <w:rsid w:val="0359374B"/>
    <w:rsid w:val="03B70FF7"/>
    <w:rsid w:val="04072632"/>
    <w:rsid w:val="0433F5FA"/>
    <w:rsid w:val="0572B710"/>
    <w:rsid w:val="0629029B"/>
    <w:rsid w:val="06BFAFB7"/>
    <w:rsid w:val="07206893"/>
    <w:rsid w:val="07B2D225"/>
    <w:rsid w:val="0816FC58"/>
    <w:rsid w:val="0875E5E3"/>
    <w:rsid w:val="08B41180"/>
    <w:rsid w:val="097F402C"/>
    <w:rsid w:val="09F98C95"/>
    <w:rsid w:val="09FBB2E8"/>
    <w:rsid w:val="0A11AFC1"/>
    <w:rsid w:val="0A4A40AA"/>
    <w:rsid w:val="0A908C32"/>
    <w:rsid w:val="0B3159E7"/>
    <w:rsid w:val="0C0B66DD"/>
    <w:rsid w:val="0C2C5C93"/>
    <w:rsid w:val="0C92252B"/>
    <w:rsid w:val="0CA54DB5"/>
    <w:rsid w:val="0D281935"/>
    <w:rsid w:val="0D2DDAB5"/>
    <w:rsid w:val="0D79F3E6"/>
    <w:rsid w:val="0D89B3D5"/>
    <w:rsid w:val="0DB84092"/>
    <w:rsid w:val="0DE11CA8"/>
    <w:rsid w:val="0E032BCE"/>
    <w:rsid w:val="0E1092DD"/>
    <w:rsid w:val="0E3C613F"/>
    <w:rsid w:val="0EC1ED21"/>
    <w:rsid w:val="0EE67A32"/>
    <w:rsid w:val="0F0FBB61"/>
    <w:rsid w:val="0F584996"/>
    <w:rsid w:val="0F8C7BB7"/>
    <w:rsid w:val="0FC8CFB8"/>
    <w:rsid w:val="0FCDC019"/>
    <w:rsid w:val="0FFDC558"/>
    <w:rsid w:val="10185BF0"/>
    <w:rsid w:val="10EF654A"/>
    <w:rsid w:val="112E60C7"/>
    <w:rsid w:val="112EB032"/>
    <w:rsid w:val="11748282"/>
    <w:rsid w:val="11F1A024"/>
    <w:rsid w:val="124A647C"/>
    <w:rsid w:val="12724DE8"/>
    <w:rsid w:val="127C5D13"/>
    <w:rsid w:val="12973D61"/>
    <w:rsid w:val="129B2EEC"/>
    <w:rsid w:val="129B9E17"/>
    <w:rsid w:val="12FE40B8"/>
    <w:rsid w:val="1324FF12"/>
    <w:rsid w:val="13D52147"/>
    <w:rsid w:val="1417435E"/>
    <w:rsid w:val="1477F99F"/>
    <w:rsid w:val="14BAB87E"/>
    <w:rsid w:val="152D0586"/>
    <w:rsid w:val="158505CB"/>
    <w:rsid w:val="16A6B3D1"/>
    <w:rsid w:val="16FA644B"/>
    <w:rsid w:val="17EEB7D9"/>
    <w:rsid w:val="184C76EC"/>
    <w:rsid w:val="1863581F"/>
    <w:rsid w:val="18974449"/>
    <w:rsid w:val="18ACACE2"/>
    <w:rsid w:val="18D893A5"/>
    <w:rsid w:val="1980169B"/>
    <w:rsid w:val="1987FF29"/>
    <w:rsid w:val="1A18E1FF"/>
    <w:rsid w:val="1A65F302"/>
    <w:rsid w:val="1BFCCD71"/>
    <w:rsid w:val="1C7EFCFB"/>
    <w:rsid w:val="1CD4F23E"/>
    <w:rsid w:val="1CEDCDB8"/>
    <w:rsid w:val="1D31011A"/>
    <w:rsid w:val="1D80AF28"/>
    <w:rsid w:val="1F4EC1CC"/>
    <w:rsid w:val="200C9300"/>
    <w:rsid w:val="2013E922"/>
    <w:rsid w:val="205788D1"/>
    <w:rsid w:val="206BE10D"/>
    <w:rsid w:val="21136DF7"/>
    <w:rsid w:val="214E4C51"/>
    <w:rsid w:val="215A29B6"/>
    <w:rsid w:val="21E58F93"/>
    <w:rsid w:val="22B152B6"/>
    <w:rsid w:val="233F1D11"/>
    <w:rsid w:val="236CDC56"/>
    <w:rsid w:val="23A381A6"/>
    <w:rsid w:val="24359567"/>
    <w:rsid w:val="249977B4"/>
    <w:rsid w:val="24DEE6F6"/>
    <w:rsid w:val="24FC36F1"/>
    <w:rsid w:val="257F00AB"/>
    <w:rsid w:val="25FBDC2E"/>
    <w:rsid w:val="266C9A00"/>
    <w:rsid w:val="2680C22E"/>
    <w:rsid w:val="26F3BFB8"/>
    <w:rsid w:val="2731E3EF"/>
    <w:rsid w:val="274D8575"/>
    <w:rsid w:val="28664EC7"/>
    <w:rsid w:val="28F34AC3"/>
    <w:rsid w:val="293958E8"/>
    <w:rsid w:val="29597A3D"/>
    <w:rsid w:val="2AAEB822"/>
    <w:rsid w:val="2B1BAC94"/>
    <w:rsid w:val="2B438825"/>
    <w:rsid w:val="2BB0AD7E"/>
    <w:rsid w:val="2BBD867F"/>
    <w:rsid w:val="2C00519B"/>
    <w:rsid w:val="2C79D125"/>
    <w:rsid w:val="2CDFEB24"/>
    <w:rsid w:val="2D1A1660"/>
    <w:rsid w:val="2DF73D4A"/>
    <w:rsid w:val="2E71AF22"/>
    <w:rsid w:val="2F475EF9"/>
    <w:rsid w:val="2FB0B262"/>
    <w:rsid w:val="2FE550DF"/>
    <w:rsid w:val="303A091E"/>
    <w:rsid w:val="308204D7"/>
    <w:rsid w:val="3104A782"/>
    <w:rsid w:val="31105D37"/>
    <w:rsid w:val="3164701B"/>
    <w:rsid w:val="31E1310D"/>
    <w:rsid w:val="3239A935"/>
    <w:rsid w:val="32A53CA9"/>
    <w:rsid w:val="32C77680"/>
    <w:rsid w:val="33659EE2"/>
    <w:rsid w:val="33A0428C"/>
    <w:rsid w:val="33A0E60D"/>
    <w:rsid w:val="345150A8"/>
    <w:rsid w:val="34B045D5"/>
    <w:rsid w:val="3522BA7F"/>
    <w:rsid w:val="36F5DE90"/>
    <w:rsid w:val="37A29011"/>
    <w:rsid w:val="396E32C2"/>
    <w:rsid w:val="3984A508"/>
    <w:rsid w:val="39BC0F2A"/>
    <w:rsid w:val="39DCE3AB"/>
    <w:rsid w:val="39E1270E"/>
    <w:rsid w:val="3AAE3710"/>
    <w:rsid w:val="3AF2DD88"/>
    <w:rsid w:val="3B26B9E9"/>
    <w:rsid w:val="3B34B2BE"/>
    <w:rsid w:val="3B370C2E"/>
    <w:rsid w:val="3BB313FF"/>
    <w:rsid w:val="3BF9AF54"/>
    <w:rsid w:val="3C29C6B3"/>
    <w:rsid w:val="3C8F96C4"/>
    <w:rsid w:val="3CBA3D91"/>
    <w:rsid w:val="3CC876AB"/>
    <w:rsid w:val="3D6DBBEE"/>
    <w:rsid w:val="3DADE101"/>
    <w:rsid w:val="3E2BB2A7"/>
    <w:rsid w:val="3E3C2AB0"/>
    <w:rsid w:val="3E90BD06"/>
    <w:rsid w:val="3EB4750C"/>
    <w:rsid w:val="3EEE4939"/>
    <w:rsid w:val="3FF829AE"/>
    <w:rsid w:val="414864F4"/>
    <w:rsid w:val="4148F6AF"/>
    <w:rsid w:val="4172C337"/>
    <w:rsid w:val="41D3B76C"/>
    <w:rsid w:val="423A7B4F"/>
    <w:rsid w:val="4257ED80"/>
    <w:rsid w:val="42F746FF"/>
    <w:rsid w:val="4328FF49"/>
    <w:rsid w:val="4346FAF2"/>
    <w:rsid w:val="4352665E"/>
    <w:rsid w:val="43A6FA09"/>
    <w:rsid w:val="43B1D26C"/>
    <w:rsid w:val="446E5062"/>
    <w:rsid w:val="44809771"/>
    <w:rsid w:val="4531029F"/>
    <w:rsid w:val="454DF764"/>
    <w:rsid w:val="45A9C458"/>
    <w:rsid w:val="46274D9B"/>
    <w:rsid w:val="46622757"/>
    <w:rsid w:val="4674A7FE"/>
    <w:rsid w:val="46CCD300"/>
    <w:rsid w:val="46E2FDA9"/>
    <w:rsid w:val="4702BE58"/>
    <w:rsid w:val="472714CF"/>
    <w:rsid w:val="47698E51"/>
    <w:rsid w:val="47FA6718"/>
    <w:rsid w:val="4811E139"/>
    <w:rsid w:val="4816E73E"/>
    <w:rsid w:val="48991974"/>
    <w:rsid w:val="4985375A"/>
    <w:rsid w:val="49B2B79F"/>
    <w:rsid w:val="49D715D9"/>
    <w:rsid w:val="49FB2DC3"/>
    <w:rsid w:val="4A9454F2"/>
    <w:rsid w:val="4AA12F13"/>
    <w:rsid w:val="4AC9F766"/>
    <w:rsid w:val="4AEFD8F5"/>
    <w:rsid w:val="4AF6F929"/>
    <w:rsid w:val="4B564EEC"/>
    <w:rsid w:val="4B75B0C3"/>
    <w:rsid w:val="4CD7DF61"/>
    <w:rsid w:val="4D03D510"/>
    <w:rsid w:val="4D29273F"/>
    <w:rsid w:val="4D6681AB"/>
    <w:rsid w:val="4DB48D1D"/>
    <w:rsid w:val="4E6A9028"/>
    <w:rsid w:val="4EAF5446"/>
    <w:rsid w:val="4FD345F8"/>
    <w:rsid w:val="50208C4D"/>
    <w:rsid w:val="50239F0B"/>
    <w:rsid w:val="50A78E68"/>
    <w:rsid w:val="50D22EB5"/>
    <w:rsid w:val="50F18B18"/>
    <w:rsid w:val="513A29F0"/>
    <w:rsid w:val="514077BF"/>
    <w:rsid w:val="5188E701"/>
    <w:rsid w:val="51F1D733"/>
    <w:rsid w:val="52E232B7"/>
    <w:rsid w:val="5327A945"/>
    <w:rsid w:val="535B3FCD"/>
    <w:rsid w:val="53A7C0B5"/>
    <w:rsid w:val="54034E4A"/>
    <w:rsid w:val="54C8034A"/>
    <w:rsid w:val="551823C4"/>
    <w:rsid w:val="553D2EE1"/>
    <w:rsid w:val="55887B6C"/>
    <w:rsid w:val="55897329"/>
    <w:rsid w:val="55D4FB8E"/>
    <w:rsid w:val="560C4DBF"/>
    <w:rsid w:val="5698CE3F"/>
    <w:rsid w:val="56B62152"/>
    <w:rsid w:val="57363D8E"/>
    <w:rsid w:val="5776CC85"/>
    <w:rsid w:val="577D78D6"/>
    <w:rsid w:val="57D64983"/>
    <w:rsid w:val="580B12DE"/>
    <w:rsid w:val="582F6A3D"/>
    <w:rsid w:val="586F2328"/>
    <w:rsid w:val="58787E24"/>
    <w:rsid w:val="594FB063"/>
    <w:rsid w:val="59748886"/>
    <w:rsid w:val="59AC489A"/>
    <w:rsid w:val="59C041AA"/>
    <w:rsid w:val="59D0C8EF"/>
    <w:rsid w:val="5A0E5719"/>
    <w:rsid w:val="5AAFF346"/>
    <w:rsid w:val="5ABF4063"/>
    <w:rsid w:val="5B196CEB"/>
    <w:rsid w:val="5CFBD429"/>
    <w:rsid w:val="5D14AC0C"/>
    <w:rsid w:val="5D647BE2"/>
    <w:rsid w:val="5E447FE8"/>
    <w:rsid w:val="5E458B07"/>
    <w:rsid w:val="5E6DC2FD"/>
    <w:rsid w:val="5ED29DDC"/>
    <w:rsid w:val="5F292886"/>
    <w:rsid w:val="5FDADA3B"/>
    <w:rsid w:val="600BAEA0"/>
    <w:rsid w:val="602C39AF"/>
    <w:rsid w:val="602C5D69"/>
    <w:rsid w:val="604B0258"/>
    <w:rsid w:val="606DE177"/>
    <w:rsid w:val="60C1F9DB"/>
    <w:rsid w:val="60EC91E4"/>
    <w:rsid w:val="615EEE95"/>
    <w:rsid w:val="617977B8"/>
    <w:rsid w:val="6195A0A2"/>
    <w:rsid w:val="62152597"/>
    <w:rsid w:val="62E817E8"/>
    <w:rsid w:val="632B231A"/>
    <w:rsid w:val="63944EE0"/>
    <w:rsid w:val="64197214"/>
    <w:rsid w:val="64D3D59F"/>
    <w:rsid w:val="64DBF03F"/>
    <w:rsid w:val="650E08D6"/>
    <w:rsid w:val="659E9F36"/>
    <w:rsid w:val="65C1AD08"/>
    <w:rsid w:val="65EA3DDD"/>
    <w:rsid w:val="661AFC75"/>
    <w:rsid w:val="669038F2"/>
    <w:rsid w:val="66BF4F1E"/>
    <w:rsid w:val="67357B2F"/>
    <w:rsid w:val="6764075E"/>
    <w:rsid w:val="67E7AF06"/>
    <w:rsid w:val="696F858B"/>
    <w:rsid w:val="6A385F05"/>
    <w:rsid w:val="6AAA64F2"/>
    <w:rsid w:val="6B266A08"/>
    <w:rsid w:val="6C3CF0E3"/>
    <w:rsid w:val="6C844C92"/>
    <w:rsid w:val="6C8DFDF0"/>
    <w:rsid w:val="6D466BA0"/>
    <w:rsid w:val="6D70AA6E"/>
    <w:rsid w:val="6DE8BFCC"/>
    <w:rsid w:val="6E29CE51"/>
    <w:rsid w:val="6E300969"/>
    <w:rsid w:val="6E7C1130"/>
    <w:rsid w:val="6EC1ED8D"/>
    <w:rsid w:val="6EDEEE4F"/>
    <w:rsid w:val="6F9C8823"/>
    <w:rsid w:val="6FB63670"/>
    <w:rsid w:val="6FC59EB2"/>
    <w:rsid w:val="7022E957"/>
    <w:rsid w:val="70837841"/>
    <w:rsid w:val="70DB0A08"/>
    <w:rsid w:val="714558C3"/>
    <w:rsid w:val="719706AA"/>
    <w:rsid w:val="72B541DB"/>
    <w:rsid w:val="72BE33B3"/>
    <w:rsid w:val="72C4BBBD"/>
    <w:rsid w:val="72F8CA20"/>
    <w:rsid w:val="73377E5D"/>
    <w:rsid w:val="73B65BC8"/>
    <w:rsid w:val="73DCCF31"/>
    <w:rsid w:val="74554E1C"/>
    <w:rsid w:val="747A1801"/>
    <w:rsid w:val="74878DC9"/>
    <w:rsid w:val="7502F7D0"/>
    <w:rsid w:val="7572742B"/>
    <w:rsid w:val="75A58AEB"/>
    <w:rsid w:val="763F9B63"/>
    <w:rsid w:val="76E5D749"/>
    <w:rsid w:val="7761BDAB"/>
    <w:rsid w:val="77B976B7"/>
    <w:rsid w:val="77FD4D7D"/>
    <w:rsid w:val="7847AB12"/>
    <w:rsid w:val="78610491"/>
    <w:rsid w:val="788A0DD1"/>
    <w:rsid w:val="78C96F22"/>
    <w:rsid w:val="78FDAEE4"/>
    <w:rsid w:val="7944EF93"/>
    <w:rsid w:val="79D6075F"/>
    <w:rsid w:val="7A727AE1"/>
    <w:rsid w:val="7A8B3413"/>
    <w:rsid w:val="7C0E4B42"/>
    <w:rsid w:val="7C6D0C9B"/>
    <w:rsid w:val="7CACAD19"/>
    <w:rsid w:val="7CCF11E2"/>
    <w:rsid w:val="7D63D01B"/>
    <w:rsid w:val="7D6D3A44"/>
    <w:rsid w:val="7E5BAF1B"/>
    <w:rsid w:val="7E5C0FE4"/>
    <w:rsid w:val="7EDE76B3"/>
    <w:rsid w:val="7EF1BE0C"/>
    <w:rsid w:val="7F2B1F02"/>
    <w:rsid w:val="7F3D83C7"/>
    <w:rsid w:val="7F9AA1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275C0"/>
  <w15:chartTrackingRefBased/>
  <w15:docId w15:val="{6F2283B7-B27E-4490-8777-B25DADABD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C63"/>
    <w:pPr>
      <w:spacing w:before="240"/>
      <w:jc w:val="both"/>
    </w:pPr>
  </w:style>
  <w:style w:type="paragraph" w:styleId="Heading1">
    <w:name w:val="heading 1"/>
    <w:basedOn w:val="Normal"/>
    <w:next w:val="Normal"/>
    <w:link w:val="Heading1Char"/>
    <w:uiPriority w:val="9"/>
    <w:qFormat/>
    <w:rsid w:val="00F80D1B"/>
    <w:pPr>
      <w:keepNext/>
      <w:keepLines/>
      <w:numPr>
        <w:numId w:val="23"/>
      </w:numPr>
      <w:spacing w:after="0"/>
      <w:ind w:left="360"/>
      <w:outlineLvl w:val="0"/>
    </w:pPr>
    <w:rPr>
      <w:rFonts w:eastAsiaTheme="majorEastAsia" w:cstheme="minorHAnsi"/>
      <w:b/>
      <w:bCs/>
      <w:color w:val="000000" w:themeColor="text1"/>
      <w:kern w:val="0"/>
      <w:sz w:val="32"/>
      <w:szCs w:val="32"/>
      <w14:ligatures w14:val="none"/>
    </w:rPr>
  </w:style>
  <w:style w:type="paragraph" w:styleId="Heading2">
    <w:name w:val="heading 2"/>
    <w:basedOn w:val="Normal"/>
    <w:next w:val="Normal"/>
    <w:link w:val="Heading2Char"/>
    <w:uiPriority w:val="9"/>
    <w:unhideWhenUsed/>
    <w:qFormat/>
    <w:rsid w:val="00F80D1B"/>
    <w:pPr>
      <w:keepNext/>
      <w:keepLines/>
      <w:numPr>
        <w:ilvl w:val="1"/>
        <w:numId w:val="23"/>
      </w:numPr>
      <w:spacing w:before="40" w:after="0"/>
      <w:ind w:left="720"/>
      <w:outlineLvl w:val="1"/>
    </w:pPr>
    <w:rPr>
      <w:rFonts w:eastAsiaTheme="majorEastAsia" w:cstheme="minorHAnsi"/>
      <w:b/>
      <w:bCs/>
      <w:color w:val="000000" w:themeColor="text1"/>
      <w:sz w:val="26"/>
      <w:szCs w:val="26"/>
    </w:rPr>
  </w:style>
  <w:style w:type="paragraph" w:styleId="Heading3">
    <w:name w:val="heading 3"/>
    <w:basedOn w:val="Normal"/>
    <w:next w:val="Normal"/>
    <w:link w:val="Heading3Char"/>
    <w:uiPriority w:val="9"/>
    <w:unhideWhenUsed/>
    <w:qFormat/>
    <w:rsid w:val="005F2F08"/>
    <w:pPr>
      <w:keepNext/>
      <w:keepLines/>
      <w:numPr>
        <w:ilvl w:val="2"/>
        <w:numId w:val="23"/>
      </w:numPr>
      <w:spacing w:before="40" w:after="0"/>
      <w:ind w:left="720"/>
      <w:outlineLvl w:val="2"/>
    </w:pPr>
    <w:rPr>
      <w:rFonts w:eastAsiaTheme="majorEastAsia" w:cstheme="minorHAnsi"/>
      <w:b/>
      <w:bCs/>
      <w:color w:val="000000" w:themeColor="text1"/>
      <w:sz w:val="24"/>
      <w:szCs w:val="24"/>
    </w:rPr>
  </w:style>
  <w:style w:type="paragraph" w:styleId="Heading4">
    <w:name w:val="heading 4"/>
    <w:basedOn w:val="ListParagraph"/>
    <w:next w:val="Normal"/>
    <w:link w:val="Heading4Char"/>
    <w:uiPriority w:val="9"/>
    <w:unhideWhenUsed/>
    <w:qFormat/>
    <w:rsid w:val="000751B9"/>
    <w:pPr>
      <w:numPr>
        <w:ilvl w:val="3"/>
        <w:numId w:val="23"/>
      </w:numPr>
      <w:spacing w:after="0"/>
      <w:ind w:left="1080"/>
      <w:outlineLvl w:val="3"/>
    </w:pPr>
    <w:rPr>
      <w:b/>
      <w:bCs/>
      <w:sz w:val="24"/>
      <w:szCs w:val="24"/>
    </w:rPr>
  </w:style>
  <w:style w:type="paragraph" w:styleId="Heading5">
    <w:name w:val="heading 5"/>
    <w:basedOn w:val="ListParagraph"/>
    <w:next w:val="Normal"/>
    <w:link w:val="Heading5Char"/>
    <w:uiPriority w:val="9"/>
    <w:unhideWhenUsed/>
    <w:qFormat/>
    <w:rsid w:val="00C91BDB"/>
    <w:pPr>
      <w:numPr>
        <w:ilvl w:val="1"/>
        <w:numId w:val="5"/>
      </w:numPr>
      <w:ind w:left="360"/>
      <w:outlineLvl w:val="4"/>
    </w:pPr>
    <w:rPr>
      <w:b/>
      <w:bCs/>
    </w:rPr>
  </w:style>
  <w:style w:type="paragraph" w:styleId="Heading6">
    <w:name w:val="heading 6"/>
    <w:basedOn w:val="Normal"/>
    <w:next w:val="Normal"/>
    <w:link w:val="Heading6Char"/>
    <w:uiPriority w:val="9"/>
    <w:unhideWhenUsed/>
    <w:qFormat/>
    <w:rsid w:val="00656186"/>
    <w:pPr>
      <w:outlineLvl w:val="5"/>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0D1B"/>
    <w:rPr>
      <w:rFonts w:eastAsiaTheme="majorEastAsia" w:cstheme="minorHAnsi"/>
      <w:b/>
      <w:bCs/>
      <w:color w:val="000000" w:themeColor="text1"/>
      <w:sz w:val="26"/>
      <w:szCs w:val="26"/>
    </w:rPr>
  </w:style>
  <w:style w:type="paragraph" w:styleId="ListParagraph">
    <w:name w:val="List Paragraph"/>
    <w:basedOn w:val="Normal"/>
    <w:uiPriority w:val="34"/>
    <w:qFormat/>
    <w:rsid w:val="00622529"/>
    <w:pPr>
      <w:ind w:left="720"/>
      <w:contextualSpacing/>
    </w:pPr>
  </w:style>
  <w:style w:type="table" w:styleId="TableGrid">
    <w:name w:val="Table Grid"/>
    <w:basedOn w:val="TableNormal"/>
    <w:uiPriority w:val="39"/>
    <w:rsid w:val="007B5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E357D9"/>
    <w:rPr>
      <w:color w:val="2B579A"/>
      <w:shd w:val="clear" w:color="auto" w:fill="E6E6E6"/>
    </w:rPr>
  </w:style>
  <w:style w:type="paragraph" w:styleId="CommentText">
    <w:name w:val="annotation text"/>
    <w:basedOn w:val="Normal"/>
    <w:link w:val="CommentTextChar"/>
    <w:uiPriority w:val="99"/>
    <w:unhideWhenUsed/>
    <w:rsid w:val="00E357D9"/>
    <w:pPr>
      <w:spacing w:line="240" w:lineRule="auto"/>
    </w:pPr>
    <w:rPr>
      <w:sz w:val="20"/>
      <w:szCs w:val="20"/>
    </w:rPr>
  </w:style>
  <w:style w:type="character" w:customStyle="1" w:styleId="CommentTextChar">
    <w:name w:val="Comment Text Char"/>
    <w:basedOn w:val="DefaultParagraphFont"/>
    <w:link w:val="CommentText"/>
    <w:uiPriority w:val="99"/>
    <w:rsid w:val="00E357D9"/>
    <w:rPr>
      <w:sz w:val="20"/>
      <w:szCs w:val="20"/>
    </w:rPr>
  </w:style>
  <w:style w:type="character" w:styleId="CommentReference">
    <w:name w:val="annotation reference"/>
    <w:basedOn w:val="DefaultParagraphFont"/>
    <w:uiPriority w:val="99"/>
    <w:semiHidden/>
    <w:unhideWhenUsed/>
    <w:rsid w:val="00E357D9"/>
    <w:rPr>
      <w:sz w:val="16"/>
      <w:szCs w:val="16"/>
    </w:rPr>
  </w:style>
  <w:style w:type="paragraph" w:styleId="Bibliography">
    <w:name w:val="Bibliography"/>
    <w:basedOn w:val="Normal"/>
    <w:next w:val="Normal"/>
    <w:uiPriority w:val="37"/>
    <w:unhideWhenUsed/>
    <w:rsid w:val="006A65A2"/>
    <w:pPr>
      <w:spacing w:after="0" w:line="480" w:lineRule="auto"/>
      <w:ind w:left="720" w:hanging="720"/>
    </w:pPr>
  </w:style>
  <w:style w:type="paragraph" w:styleId="CommentSubject">
    <w:name w:val="annotation subject"/>
    <w:basedOn w:val="CommentText"/>
    <w:next w:val="CommentText"/>
    <w:link w:val="CommentSubjectChar"/>
    <w:uiPriority w:val="99"/>
    <w:semiHidden/>
    <w:unhideWhenUsed/>
    <w:rsid w:val="006E0467"/>
    <w:rPr>
      <w:b/>
      <w:bCs/>
    </w:rPr>
  </w:style>
  <w:style w:type="character" w:customStyle="1" w:styleId="CommentSubjectChar">
    <w:name w:val="Comment Subject Char"/>
    <w:basedOn w:val="CommentTextChar"/>
    <w:link w:val="CommentSubject"/>
    <w:uiPriority w:val="99"/>
    <w:semiHidden/>
    <w:rsid w:val="006E0467"/>
    <w:rPr>
      <w:b/>
      <w:bCs/>
      <w:sz w:val="20"/>
      <w:szCs w:val="20"/>
    </w:rPr>
  </w:style>
  <w:style w:type="character" w:customStyle="1" w:styleId="Heading3Char">
    <w:name w:val="Heading 3 Char"/>
    <w:basedOn w:val="DefaultParagraphFont"/>
    <w:link w:val="Heading3"/>
    <w:uiPriority w:val="9"/>
    <w:rsid w:val="005F2F08"/>
    <w:rPr>
      <w:rFonts w:eastAsiaTheme="majorEastAsia" w:cstheme="minorHAnsi"/>
      <w:b/>
      <w:bCs/>
      <w:color w:val="000000" w:themeColor="text1"/>
      <w:sz w:val="24"/>
      <w:szCs w:val="24"/>
    </w:rPr>
  </w:style>
  <w:style w:type="character" w:customStyle="1" w:styleId="Heading1Char">
    <w:name w:val="Heading 1 Char"/>
    <w:basedOn w:val="DefaultParagraphFont"/>
    <w:link w:val="Heading1"/>
    <w:uiPriority w:val="9"/>
    <w:rsid w:val="00F80D1B"/>
    <w:rPr>
      <w:rFonts w:eastAsiaTheme="majorEastAsia" w:cstheme="minorHAnsi"/>
      <w:b/>
      <w:bCs/>
      <w:color w:val="000000" w:themeColor="text1"/>
      <w:kern w:val="0"/>
      <w:sz w:val="32"/>
      <w:szCs w:val="32"/>
      <w14:ligatures w14:val="none"/>
    </w:rPr>
  </w:style>
  <w:style w:type="paragraph" w:styleId="Header">
    <w:name w:val="header"/>
    <w:basedOn w:val="Normal"/>
    <w:link w:val="HeaderChar"/>
    <w:uiPriority w:val="99"/>
    <w:unhideWhenUsed/>
    <w:rsid w:val="00B21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AAB"/>
  </w:style>
  <w:style w:type="paragraph" w:styleId="Footer">
    <w:name w:val="footer"/>
    <w:basedOn w:val="Normal"/>
    <w:link w:val="FooterChar"/>
    <w:uiPriority w:val="99"/>
    <w:unhideWhenUsed/>
    <w:rsid w:val="00B21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AAB"/>
  </w:style>
  <w:style w:type="paragraph" w:styleId="Caption">
    <w:name w:val="caption"/>
    <w:basedOn w:val="Normal"/>
    <w:next w:val="Normal"/>
    <w:uiPriority w:val="35"/>
    <w:unhideWhenUsed/>
    <w:qFormat/>
    <w:rsid w:val="00656186"/>
    <w:pPr>
      <w:spacing w:after="200" w:line="240" w:lineRule="auto"/>
    </w:pPr>
    <w:rPr>
      <w:i/>
      <w:iCs/>
      <w:color w:val="44546A" w:themeColor="text2"/>
      <w:sz w:val="18"/>
      <w:szCs w:val="18"/>
    </w:rPr>
  </w:style>
  <w:style w:type="paragraph" w:styleId="FootnoteText">
    <w:name w:val="footnote text"/>
    <w:basedOn w:val="Normal"/>
    <w:link w:val="FootnoteTextChar"/>
    <w:uiPriority w:val="99"/>
    <w:unhideWhenUsed/>
    <w:rsid w:val="00656186"/>
    <w:pPr>
      <w:spacing w:after="0" w:line="240" w:lineRule="auto"/>
    </w:pPr>
    <w:rPr>
      <w:sz w:val="20"/>
      <w:szCs w:val="20"/>
    </w:rPr>
  </w:style>
  <w:style w:type="character" w:customStyle="1" w:styleId="FootnoteTextChar">
    <w:name w:val="Footnote Text Char"/>
    <w:basedOn w:val="DefaultParagraphFont"/>
    <w:link w:val="FootnoteText"/>
    <w:uiPriority w:val="99"/>
    <w:rsid w:val="00860387"/>
    <w:rPr>
      <w:sz w:val="20"/>
      <w:szCs w:val="20"/>
    </w:rPr>
  </w:style>
  <w:style w:type="character" w:styleId="FootnoteReference">
    <w:name w:val="footnote reference"/>
    <w:basedOn w:val="DefaultParagraphFont"/>
    <w:uiPriority w:val="99"/>
    <w:semiHidden/>
    <w:unhideWhenUsed/>
    <w:rsid w:val="00860387"/>
    <w:rPr>
      <w:vertAlign w:val="superscript"/>
    </w:rPr>
  </w:style>
  <w:style w:type="character" w:styleId="PlaceholderText">
    <w:name w:val="Placeholder Text"/>
    <w:basedOn w:val="DefaultParagraphFont"/>
    <w:uiPriority w:val="99"/>
    <w:semiHidden/>
    <w:rsid w:val="00433D35"/>
    <w:rPr>
      <w:color w:val="808080"/>
    </w:rPr>
  </w:style>
  <w:style w:type="paragraph" w:styleId="Title">
    <w:name w:val="Title"/>
    <w:basedOn w:val="Normal"/>
    <w:next w:val="Normal"/>
    <w:link w:val="TitleChar"/>
    <w:uiPriority w:val="10"/>
    <w:qFormat/>
    <w:rsid w:val="00656186"/>
    <w:pPr>
      <w:spacing w:after="0" w:line="240" w:lineRule="auto"/>
      <w:contextualSpacing/>
      <w:jc w:val="center"/>
    </w:pPr>
    <w:rPr>
      <w:rFonts w:eastAsiaTheme="majorEastAsia" w:cstheme="minorHAnsi"/>
      <w:b/>
      <w:bCs/>
      <w:spacing w:val="-10"/>
      <w:kern w:val="28"/>
      <w:sz w:val="40"/>
      <w:szCs w:val="40"/>
    </w:rPr>
  </w:style>
  <w:style w:type="character" w:customStyle="1" w:styleId="TitleChar">
    <w:name w:val="Title Char"/>
    <w:basedOn w:val="DefaultParagraphFont"/>
    <w:link w:val="Title"/>
    <w:uiPriority w:val="10"/>
    <w:rsid w:val="00FB3C63"/>
    <w:rPr>
      <w:rFonts w:eastAsiaTheme="majorEastAsia" w:cstheme="minorHAnsi"/>
      <w:b/>
      <w:bCs/>
      <w:spacing w:val="-10"/>
      <w:kern w:val="28"/>
      <w:sz w:val="40"/>
      <w:szCs w:val="40"/>
    </w:rPr>
  </w:style>
  <w:style w:type="paragraph" w:styleId="NoSpacing">
    <w:name w:val="No Spacing"/>
    <w:uiPriority w:val="1"/>
    <w:qFormat/>
    <w:rsid w:val="00FB3C63"/>
    <w:pPr>
      <w:spacing w:after="0" w:line="240" w:lineRule="auto"/>
      <w:jc w:val="both"/>
    </w:pPr>
  </w:style>
  <w:style w:type="paragraph" w:styleId="Subtitle">
    <w:name w:val="Subtitle"/>
    <w:aliases w:val="Captions"/>
    <w:basedOn w:val="Caption"/>
    <w:next w:val="Normal"/>
    <w:link w:val="SubtitleChar"/>
    <w:uiPriority w:val="11"/>
    <w:qFormat/>
    <w:rsid w:val="00E47158"/>
    <w:pPr>
      <w:keepNext/>
    </w:pPr>
    <w:rPr>
      <w:b/>
      <w:bCs/>
      <w:i w:val="0"/>
      <w:iCs w:val="0"/>
      <w:color w:val="auto"/>
      <w:sz w:val="20"/>
      <w:szCs w:val="20"/>
    </w:rPr>
  </w:style>
  <w:style w:type="character" w:customStyle="1" w:styleId="SubtitleChar">
    <w:name w:val="Subtitle Char"/>
    <w:aliases w:val="Captions Char"/>
    <w:basedOn w:val="DefaultParagraphFont"/>
    <w:link w:val="Subtitle"/>
    <w:uiPriority w:val="11"/>
    <w:rsid w:val="00E47158"/>
    <w:rPr>
      <w:b/>
      <w:bCs/>
      <w:sz w:val="20"/>
      <w:szCs w:val="20"/>
    </w:rPr>
  </w:style>
  <w:style w:type="character" w:customStyle="1" w:styleId="Heading4Char">
    <w:name w:val="Heading 4 Char"/>
    <w:basedOn w:val="DefaultParagraphFont"/>
    <w:link w:val="Heading4"/>
    <w:uiPriority w:val="9"/>
    <w:rsid w:val="000751B9"/>
    <w:rPr>
      <w:b/>
      <w:bCs/>
      <w:sz w:val="24"/>
      <w:szCs w:val="24"/>
    </w:rPr>
  </w:style>
  <w:style w:type="character" w:customStyle="1" w:styleId="Heading5Char">
    <w:name w:val="Heading 5 Char"/>
    <w:basedOn w:val="DefaultParagraphFont"/>
    <w:link w:val="Heading5"/>
    <w:uiPriority w:val="9"/>
    <w:rsid w:val="00C91BDB"/>
    <w:rPr>
      <w:b/>
      <w:bCs/>
    </w:rPr>
  </w:style>
  <w:style w:type="character" w:customStyle="1" w:styleId="Heading6Char">
    <w:name w:val="Heading 6 Char"/>
    <w:basedOn w:val="DefaultParagraphFont"/>
    <w:link w:val="Heading6"/>
    <w:uiPriority w:val="9"/>
    <w:rsid w:val="00AC2AE5"/>
    <w:rPr>
      <w:b/>
      <w:bCs/>
      <w:i/>
      <w:iCs/>
    </w:rPr>
  </w:style>
  <w:style w:type="paragraph" w:styleId="TOCHeading">
    <w:name w:val="TOC Heading"/>
    <w:basedOn w:val="Heading1"/>
    <w:next w:val="Normal"/>
    <w:uiPriority w:val="39"/>
    <w:unhideWhenUsed/>
    <w:qFormat/>
    <w:rsid w:val="00656186"/>
    <w:pPr>
      <w:outlineLvl w:val="9"/>
    </w:pPr>
  </w:style>
  <w:style w:type="paragraph" w:styleId="TOC1">
    <w:name w:val="toc 1"/>
    <w:basedOn w:val="Normal"/>
    <w:next w:val="Normal"/>
    <w:autoRedefine/>
    <w:uiPriority w:val="39"/>
    <w:unhideWhenUsed/>
    <w:rsid w:val="00656186"/>
    <w:pPr>
      <w:spacing w:after="100"/>
    </w:pPr>
  </w:style>
  <w:style w:type="paragraph" w:styleId="TOC2">
    <w:name w:val="toc 2"/>
    <w:basedOn w:val="Normal"/>
    <w:next w:val="Normal"/>
    <w:autoRedefine/>
    <w:uiPriority w:val="39"/>
    <w:unhideWhenUsed/>
    <w:rsid w:val="00656186"/>
    <w:pPr>
      <w:spacing w:after="100"/>
      <w:ind w:left="220"/>
    </w:pPr>
  </w:style>
  <w:style w:type="paragraph" w:styleId="TOC3">
    <w:name w:val="toc 3"/>
    <w:basedOn w:val="Normal"/>
    <w:next w:val="Normal"/>
    <w:autoRedefine/>
    <w:uiPriority w:val="39"/>
    <w:unhideWhenUsed/>
    <w:rsid w:val="00656186"/>
    <w:pPr>
      <w:spacing w:after="100"/>
      <w:ind w:left="440"/>
    </w:pPr>
  </w:style>
  <w:style w:type="character" w:styleId="Hyperlink">
    <w:name w:val="Hyperlink"/>
    <w:basedOn w:val="DefaultParagraphFont"/>
    <w:uiPriority w:val="99"/>
    <w:unhideWhenUsed/>
    <w:rsid w:val="00423DAB"/>
    <w:rPr>
      <w:color w:val="0563C1" w:themeColor="hyperlink"/>
      <w:u w:val="single"/>
    </w:rPr>
  </w:style>
  <w:style w:type="character" w:styleId="UnresolvedMention">
    <w:name w:val="Unresolved Mention"/>
    <w:basedOn w:val="DefaultParagraphFont"/>
    <w:uiPriority w:val="99"/>
    <w:semiHidden/>
    <w:unhideWhenUsed/>
    <w:rsid w:val="00276E40"/>
    <w:rPr>
      <w:color w:val="605E5C"/>
      <w:shd w:val="clear" w:color="auto" w:fill="E1DFDD"/>
    </w:rPr>
  </w:style>
  <w:style w:type="character" w:styleId="FollowedHyperlink">
    <w:name w:val="FollowedHyperlink"/>
    <w:basedOn w:val="DefaultParagraphFont"/>
    <w:uiPriority w:val="99"/>
    <w:semiHidden/>
    <w:unhideWhenUsed/>
    <w:rsid w:val="00EF2911"/>
    <w:rPr>
      <w:color w:val="954F72" w:themeColor="followedHyperlink"/>
      <w:u w:val="single"/>
    </w:rPr>
  </w:style>
  <w:style w:type="character" w:styleId="SubtleReference">
    <w:name w:val="Subtle Reference"/>
    <w:aliases w:val="Equation"/>
    <w:uiPriority w:val="31"/>
    <w:qFormat/>
    <w:rsid w:val="00CF6777"/>
    <w:rPr>
      <w:rFonts w:ascii="Cambria Math" w:hAnsi="Cambria Math" w:cstheme="minorHAnsi"/>
      <w:color w:val="000000" w:themeColor="text1"/>
    </w:rPr>
  </w:style>
  <w:style w:type="paragraph" w:styleId="Revision">
    <w:name w:val="Revision"/>
    <w:hidden/>
    <w:uiPriority w:val="99"/>
    <w:semiHidden/>
    <w:rsid w:val="007A71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3441">
      <w:bodyDiv w:val="1"/>
      <w:marLeft w:val="0"/>
      <w:marRight w:val="0"/>
      <w:marTop w:val="0"/>
      <w:marBottom w:val="0"/>
      <w:divBdr>
        <w:top w:val="none" w:sz="0" w:space="0" w:color="auto"/>
        <w:left w:val="none" w:sz="0" w:space="0" w:color="auto"/>
        <w:bottom w:val="none" w:sz="0" w:space="0" w:color="auto"/>
        <w:right w:val="none" w:sz="0" w:space="0" w:color="auto"/>
      </w:divBdr>
    </w:div>
    <w:div w:id="99843337">
      <w:bodyDiv w:val="1"/>
      <w:marLeft w:val="0"/>
      <w:marRight w:val="0"/>
      <w:marTop w:val="0"/>
      <w:marBottom w:val="0"/>
      <w:divBdr>
        <w:top w:val="none" w:sz="0" w:space="0" w:color="auto"/>
        <w:left w:val="none" w:sz="0" w:space="0" w:color="auto"/>
        <w:bottom w:val="none" w:sz="0" w:space="0" w:color="auto"/>
        <w:right w:val="none" w:sz="0" w:space="0" w:color="auto"/>
      </w:divBdr>
    </w:div>
    <w:div w:id="108282694">
      <w:bodyDiv w:val="1"/>
      <w:marLeft w:val="0"/>
      <w:marRight w:val="0"/>
      <w:marTop w:val="0"/>
      <w:marBottom w:val="0"/>
      <w:divBdr>
        <w:top w:val="none" w:sz="0" w:space="0" w:color="auto"/>
        <w:left w:val="none" w:sz="0" w:space="0" w:color="auto"/>
        <w:bottom w:val="none" w:sz="0" w:space="0" w:color="auto"/>
        <w:right w:val="none" w:sz="0" w:space="0" w:color="auto"/>
      </w:divBdr>
    </w:div>
    <w:div w:id="184710773">
      <w:bodyDiv w:val="1"/>
      <w:marLeft w:val="0"/>
      <w:marRight w:val="0"/>
      <w:marTop w:val="0"/>
      <w:marBottom w:val="0"/>
      <w:divBdr>
        <w:top w:val="none" w:sz="0" w:space="0" w:color="auto"/>
        <w:left w:val="none" w:sz="0" w:space="0" w:color="auto"/>
        <w:bottom w:val="none" w:sz="0" w:space="0" w:color="auto"/>
        <w:right w:val="none" w:sz="0" w:space="0" w:color="auto"/>
      </w:divBdr>
    </w:div>
    <w:div w:id="253781215">
      <w:bodyDiv w:val="1"/>
      <w:marLeft w:val="0"/>
      <w:marRight w:val="0"/>
      <w:marTop w:val="0"/>
      <w:marBottom w:val="0"/>
      <w:divBdr>
        <w:top w:val="none" w:sz="0" w:space="0" w:color="auto"/>
        <w:left w:val="none" w:sz="0" w:space="0" w:color="auto"/>
        <w:bottom w:val="none" w:sz="0" w:space="0" w:color="auto"/>
        <w:right w:val="none" w:sz="0" w:space="0" w:color="auto"/>
      </w:divBdr>
    </w:div>
    <w:div w:id="256643515">
      <w:bodyDiv w:val="1"/>
      <w:marLeft w:val="0"/>
      <w:marRight w:val="0"/>
      <w:marTop w:val="0"/>
      <w:marBottom w:val="0"/>
      <w:divBdr>
        <w:top w:val="none" w:sz="0" w:space="0" w:color="auto"/>
        <w:left w:val="none" w:sz="0" w:space="0" w:color="auto"/>
        <w:bottom w:val="none" w:sz="0" w:space="0" w:color="auto"/>
        <w:right w:val="none" w:sz="0" w:space="0" w:color="auto"/>
      </w:divBdr>
    </w:div>
    <w:div w:id="260574271">
      <w:bodyDiv w:val="1"/>
      <w:marLeft w:val="0"/>
      <w:marRight w:val="0"/>
      <w:marTop w:val="0"/>
      <w:marBottom w:val="0"/>
      <w:divBdr>
        <w:top w:val="none" w:sz="0" w:space="0" w:color="auto"/>
        <w:left w:val="none" w:sz="0" w:space="0" w:color="auto"/>
        <w:bottom w:val="none" w:sz="0" w:space="0" w:color="auto"/>
        <w:right w:val="none" w:sz="0" w:space="0" w:color="auto"/>
      </w:divBdr>
    </w:div>
    <w:div w:id="285082968">
      <w:bodyDiv w:val="1"/>
      <w:marLeft w:val="0"/>
      <w:marRight w:val="0"/>
      <w:marTop w:val="0"/>
      <w:marBottom w:val="0"/>
      <w:divBdr>
        <w:top w:val="none" w:sz="0" w:space="0" w:color="auto"/>
        <w:left w:val="none" w:sz="0" w:space="0" w:color="auto"/>
        <w:bottom w:val="none" w:sz="0" w:space="0" w:color="auto"/>
        <w:right w:val="none" w:sz="0" w:space="0" w:color="auto"/>
      </w:divBdr>
    </w:div>
    <w:div w:id="355739694">
      <w:bodyDiv w:val="1"/>
      <w:marLeft w:val="0"/>
      <w:marRight w:val="0"/>
      <w:marTop w:val="0"/>
      <w:marBottom w:val="0"/>
      <w:divBdr>
        <w:top w:val="none" w:sz="0" w:space="0" w:color="auto"/>
        <w:left w:val="none" w:sz="0" w:space="0" w:color="auto"/>
        <w:bottom w:val="none" w:sz="0" w:space="0" w:color="auto"/>
        <w:right w:val="none" w:sz="0" w:space="0" w:color="auto"/>
      </w:divBdr>
    </w:div>
    <w:div w:id="392310053">
      <w:bodyDiv w:val="1"/>
      <w:marLeft w:val="0"/>
      <w:marRight w:val="0"/>
      <w:marTop w:val="0"/>
      <w:marBottom w:val="0"/>
      <w:divBdr>
        <w:top w:val="none" w:sz="0" w:space="0" w:color="auto"/>
        <w:left w:val="none" w:sz="0" w:space="0" w:color="auto"/>
        <w:bottom w:val="none" w:sz="0" w:space="0" w:color="auto"/>
        <w:right w:val="none" w:sz="0" w:space="0" w:color="auto"/>
      </w:divBdr>
    </w:div>
    <w:div w:id="498423977">
      <w:bodyDiv w:val="1"/>
      <w:marLeft w:val="0"/>
      <w:marRight w:val="0"/>
      <w:marTop w:val="0"/>
      <w:marBottom w:val="0"/>
      <w:divBdr>
        <w:top w:val="none" w:sz="0" w:space="0" w:color="auto"/>
        <w:left w:val="none" w:sz="0" w:space="0" w:color="auto"/>
        <w:bottom w:val="none" w:sz="0" w:space="0" w:color="auto"/>
        <w:right w:val="none" w:sz="0" w:space="0" w:color="auto"/>
      </w:divBdr>
    </w:div>
    <w:div w:id="508561600">
      <w:bodyDiv w:val="1"/>
      <w:marLeft w:val="0"/>
      <w:marRight w:val="0"/>
      <w:marTop w:val="0"/>
      <w:marBottom w:val="0"/>
      <w:divBdr>
        <w:top w:val="none" w:sz="0" w:space="0" w:color="auto"/>
        <w:left w:val="none" w:sz="0" w:space="0" w:color="auto"/>
        <w:bottom w:val="none" w:sz="0" w:space="0" w:color="auto"/>
        <w:right w:val="none" w:sz="0" w:space="0" w:color="auto"/>
      </w:divBdr>
    </w:div>
    <w:div w:id="511458848">
      <w:bodyDiv w:val="1"/>
      <w:marLeft w:val="0"/>
      <w:marRight w:val="0"/>
      <w:marTop w:val="0"/>
      <w:marBottom w:val="0"/>
      <w:divBdr>
        <w:top w:val="none" w:sz="0" w:space="0" w:color="auto"/>
        <w:left w:val="none" w:sz="0" w:space="0" w:color="auto"/>
        <w:bottom w:val="none" w:sz="0" w:space="0" w:color="auto"/>
        <w:right w:val="none" w:sz="0" w:space="0" w:color="auto"/>
      </w:divBdr>
    </w:div>
    <w:div w:id="529686127">
      <w:bodyDiv w:val="1"/>
      <w:marLeft w:val="0"/>
      <w:marRight w:val="0"/>
      <w:marTop w:val="0"/>
      <w:marBottom w:val="0"/>
      <w:divBdr>
        <w:top w:val="none" w:sz="0" w:space="0" w:color="auto"/>
        <w:left w:val="none" w:sz="0" w:space="0" w:color="auto"/>
        <w:bottom w:val="none" w:sz="0" w:space="0" w:color="auto"/>
        <w:right w:val="none" w:sz="0" w:space="0" w:color="auto"/>
      </w:divBdr>
    </w:div>
    <w:div w:id="622350798">
      <w:bodyDiv w:val="1"/>
      <w:marLeft w:val="0"/>
      <w:marRight w:val="0"/>
      <w:marTop w:val="0"/>
      <w:marBottom w:val="0"/>
      <w:divBdr>
        <w:top w:val="none" w:sz="0" w:space="0" w:color="auto"/>
        <w:left w:val="none" w:sz="0" w:space="0" w:color="auto"/>
        <w:bottom w:val="none" w:sz="0" w:space="0" w:color="auto"/>
        <w:right w:val="none" w:sz="0" w:space="0" w:color="auto"/>
      </w:divBdr>
    </w:div>
    <w:div w:id="625434607">
      <w:bodyDiv w:val="1"/>
      <w:marLeft w:val="0"/>
      <w:marRight w:val="0"/>
      <w:marTop w:val="0"/>
      <w:marBottom w:val="0"/>
      <w:divBdr>
        <w:top w:val="none" w:sz="0" w:space="0" w:color="auto"/>
        <w:left w:val="none" w:sz="0" w:space="0" w:color="auto"/>
        <w:bottom w:val="none" w:sz="0" w:space="0" w:color="auto"/>
        <w:right w:val="none" w:sz="0" w:space="0" w:color="auto"/>
      </w:divBdr>
    </w:div>
    <w:div w:id="625434878">
      <w:bodyDiv w:val="1"/>
      <w:marLeft w:val="0"/>
      <w:marRight w:val="0"/>
      <w:marTop w:val="0"/>
      <w:marBottom w:val="0"/>
      <w:divBdr>
        <w:top w:val="none" w:sz="0" w:space="0" w:color="auto"/>
        <w:left w:val="none" w:sz="0" w:space="0" w:color="auto"/>
        <w:bottom w:val="none" w:sz="0" w:space="0" w:color="auto"/>
        <w:right w:val="none" w:sz="0" w:space="0" w:color="auto"/>
      </w:divBdr>
    </w:div>
    <w:div w:id="644821711">
      <w:bodyDiv w:val="1"/>
      <w:marLeft w:val="0"/>
      <w:marRight w:val="0"/>
      <w:marTop w:val="0"/>
      <w:marBottom w:val="0"/>
      <w:divBdr>
        <w:top w:val="none" w:sz="0" w:space="0" w:color="auto"/>
        <w:left w:val="none" w:sz="0" w:space="0" w:color="auto"/>
        <w:bottom w:val="none" w:sz="0" w:space="0" w:color="auto"/>
        <w:right w:val="none" w:sz="0" w:space="0" w:color="auto"/>
      </w:divBdr>
    </w:div>
    <w:div w:id="657616601">
      <w:bodyDiv w:val="1"/>
      <w:marLeft w:val="0"/>
      <w:marRight w:val="0"/>
      <w:marTop w:val="0"/>
      <w:marBottom w:val="0"/>
      <w:divBdr>
        <w:top w:val="none" w:sz="0" w:space="0" w:color="auto"/>
        <w:left w:val="none" w:sz="0" w:space="0" w:color="auto"/>
        <w:bottom w:val="none" w:sz="0" w:space="0" w:color="auto"/>
        <w:right w:val="none" w:sz="0" w:space="0" w:color="auto"/>
      </w:divBdr>
    </w:div>
    <w:div w:id="673387292">
      <w:bodyDiv w:val="1"/>
      <w:marLeft w:val="0"/>
      <w:marRight w:val="0"/>
      <w:marTop w:val="0"/>
      <w:marBottom w:val="0"/>
      <w:divBdr>
        <w:top w:val="none" w:sz="0" w:space="0" w:color="auto"/>
        <w:left w:val="none" w:sz="0" w:space="0" w:color="auto"/>
        <w:bottom w:val="none" w:sz="0" w:space="0" w:color="auto"/>
        <w:right w:val="none" w:sz="0" w:space="0" w:color="auto"/>
      </w:divBdr>
    </w:div>
    <w:div w:id="691146280">
      <w:bodyDiv w:val="1"/>
      <w:marLeft w:val="0"/>
      <w:marRight w:val="0"/>
      <w:marTop w:val="0"/>
      <w:marBottom w:val="0"/>
      <w:divBdr>
        <w:top w:val="none" w:sz="0" w:space="0" w:color="auto"/>
        <w:left w:val="none" w:sz="0" w:space="0" w:color="auto"/>
        <w:bottom w:val="none" w:sz="0" w:space="0" w:color="auto"/>
        <w:right w:val="none" w:sz="0" w:space="0" w:color="auto"/>
      </w:divBdr>
    </w:div>
    <w:div w:id="750542736">
      <w:bodyDiv w:val="1"/>
      <w:marLeft w:val="0"/>
      <w:marRight w:val="0"/>
      <w:marTop w:val="0"/>
      <w:marBottom w:val="0"/>
      <w:divBdr>
        <w:top w:val="none" w:sz="0" w:space="0" w:color="auto"/>
        <w:left w:val="none" w:sz="0" w:space="0" w:color="auto"/>
        <w:bottom w:val="none" w:sz="0" w:space="0" w:color="auto"/>
        <w:right w:val="none" w:sz="0" w:space="0" w:color="auto"/>
      </w:divBdr>
    </w:div>
    <w:div w:id="797381893">
      <w:bodyDiv w:val="1"/>
      <w:marLeft w:val="0"/>
      <w:marRight w:val="0"/>
      <w:marTop w:val="0"/>
      <w:marBottom w:val="0"/>
      <w:divBdr>
        <w:top w:val="none" w:sz="0" w:space="0" w:color="auto"/>
        <w:left w:val="none" w:sz="0" w:space="0" w:color="auto"/>
        <w:bottom w:val="none" w:sz="0" w:space="0" w:color="auto"/>
        <w:right w:val="none" w:sz="0" w:space="0" w:color="auto"/>
      </w:divBdr>
    </w:div>
    <w:div w:id="861285326">
      <w:bodyDiv w:val="1"/>
      <w:marLeft w:val="0"/>
      <w:marRight w:val="0"/>
      <w:marTop w:val="0"/>
      <w:marBottom w:val="0"/>
      <w:divBdr>
        <w:top w:val="none" w:sz="0" w:space="0" w:color="auto"/>
        <w:left w:val="none" w:sz="0" w:space="0" w:color="auto"/>
        <w:bottom w:val="none" w:sz="0" w:space="0" w:color="auto"/>
        <w:right w:val="none" w:sz="0" w:space="0" w:color="auto"/>
      </w:divBdr>
    </w:div>
    <w:div w:id="883176974">
      <w:bodyDiv w:val="1"/>
      <w:marLeft w:val="0"/>
      <w:marRight w:val="0"/>
      <w:marTop w:val="0"/>
      <w:marBottom w:val="0"/>
      <w:divBdr>
        <w:top w:val="none" w:sz="0" w:space="0" w:color="auto"/>
        <w:left w:val="none" w:sz="0" w:space="0" w:color="auto"/>
        <w:bottom w:val="none" w:sz="0" w:space="0" w:color="auto"/>
        <w:right w:val="none" w:sz="0" w:space="0" w:color="auto"/>
      </w:divBdr>
    </w:div>
    <w:div w:id="943878847">
      <w:bodyDiv w:val="1"/>
      <w:marLeft w:val="0"/>
      <w:marRight w:val="0"/>
      <w:marTop w:val="0"/>
      <w:marBottom w:val="0"/>
      <w:divBdr>
        <w:top w:val="none" w:sz="0" w:space="0" w:color="auto"/>
        <w:left w:val="none" w:sz="0" w:space="0" w:color="auto"/>
        <w:bottom w:val="none" w:sz="0" w:space="0" w:color="auto"/>
        <w:right w:val="none" w:sz="0" w:space="0" w:color="auto"/>
      </w:divBdr>
    </w:div>
    <w:div w:id="959652260">
      <w:bodyDiv w:val="1"/>
      <w:marLeft w:val="0"/>
      <w:marRight w:val="0"/>
      <w:marTop w:val="0"/>
      <w:marBottom w:val="0"/>
      <w:divBdr>
        <w:top w:val="none" w:sz="0" w:space="0" w:color="auto"/>
        <w:left w:val="none" w:sz="0" w:space="0" w:color="auto"/>
        <w:bottom w:val="none" w:sz="0" w:space="0" w:color="auto"/>
        <w:right w:val="none" w:sz="0" w:space="0" w:color="auto"/>
      </w:divBdr>
    </w:div>
    <w:div w:id="975452242">
      <w:bodyDiv w:val="1"/>
      <w:marLeft w:val="0"/>
      <w:marRight w:val="0"/>
      <w:marTop w:val="0"/>
      <w:marBottom w:val="0"/>
      <w:divBdr>
        <w:top w:val="none" w:sz="0" w:space="0" w:color="auto"/>
        <w:left w:val="none" w:sz="0" w:space="0" w:color="auto"/>
        <w:bottom w:val="none" w:sz="0" w:space="0" w:color="auto"/>
        <w:right w:val="none" w:sz="0" w:space="0" w:color="auto"/>
      </w:divBdr>
    </w:div>
    <w:div w:id="975911739">
      <w:bodyDiv w:val="1"/>
      <w:marLeft w:val="0"/>
      <w:marRight w:val="0"/>
      <w:marTop w:val="0"/>
      <w:marBottom w:val="0"/>
      <w:divBdr>
        <w:top w:val="none" w:sz="0" w:space="0" w:color="auto"/>
        <w:left w:val="none" w:sz="0" w:space="0" w:color="auto"/>
        <w:bottom w:val="none" w:sz="0" w:space="0" w:color="auto"/>
        <w:right w:val="none" w:sz="0" w:space="0" w:color="auto"/>
      </w:divBdr>
    </w:div>
    <w:div w:id="1000353134">
      <w:bodyDiv w:val="1"/>
      <w:marLeft w:val="0"/>
      <w:marRight w:val="0"/>
      <w:marTop w:val="0"/>
      <w:marBottom w:val="0"/>
      <w:divBdr>
        <w:top w:val="none" w:sz="0" w:space="0" w:color="auto"/>
        <w:left w:val="none" w:sz="0" w:space="0" w:color="auto"/>
        <w:bottom w:val="none" w:sz="0" w:space="0" w:color="auto"/>
        <w:right w:val="none" w:sz="0" w:space="0" w:color="auto"/>
      </w:divBdr>
    </w:div>
    <w:div w:id="1060595111">
      <w:bodyDiv w:val="1"/>
      <w:marLeft w:val="0"/>
      <w:marRight w:val="0"/>
      <w:marTop w:val="0"/>
      <w:marBottom w:val="0"/>
      <w:divBdr>
        <w:top w:val="none" w:sz="0" w:space="0" w:color="auto"/>
        <w:left w:val="none" w:sz="0" w:space="0" w:color="auto"/>
        <w:bottom w:val="none" w:sz="0" w:space="0" w:color="auto"/>
        <w:right w:val="none" w:sz="0" w:space="0" w:color="auto"/>
      </w:divBdr>
    </w:div>
    <w:div w:id="1086267281">
      <w:bodyDiv w:val="1"/>
      <w:marLeft w:val="0"/>
      <w:marRight w:val="0"/>
      <w:marTop w:val="0"/>
      <w:marBottom w:val="0"/>
      <w:divBdr>
        <w:top w:val="none" w:sz="0" w:space="0" w:color="auto"/>
        <w:left w:val="none" w:sz="0" w:space="0" w:color="auto"/>
        <w:bottom w:val="none" w:sz="0" w:space="0" w:color="auto"/>
        <w:right w:val="none" w:sz="0" w:space="0" w:color="auto"/>
      </w:divBdr>
    </w:div>
    <w:div w:id="1087385562">
      <w:bodyDiv w:val="1"/>
      <w:marLeft w:val="0"/>
      <w:marRight w:val="0"/>
      <w:marTop w:val="0"/>
      <w:marBottom w:val="0"/>
      <w:divBdr>
        <w:top w:val="none" w:sz="0" w:space="0" w:color="auto"/>
        <w:left w:val="none" w:sz="0" w:space="0" w:color="auto"/>
        <w:bottom w:val="none" w:sz="0" w:space="0" w:color="auto"/>
        <w:right w:val="none" w:sz="0" w:space="0" w:color="auto"/>
      </w:divBdr>
    </w:div>
    <w:div w:id="1106120867">
      <w:bodyDiv w:val="1"/>
      <w:marLeft w:val="0"/>
      <w:marRight w:val="0"/>
      <w:marTop w:val="0"/>
      <w:marBottom w:val="0"/>
      <w:divBdr>
        <w:top w:val="none" w:sz="0" w:space="0" w:color="auto"/>
        <w:left w:val="none" w:sz="0" w:space="0" w:color="auto"/>
        <w:bottom w:val="none" w:sz="0" w:space="0" w:color="auto"/>
        <w:right w:val="none" w:sz="0" w:space="0" w:color="auto"/>
      </w:divBdr>
    </w:div>
    <w:div w:id="1129975505">
      <w:bodyDiv w:val="1"/>
      <w:marLeft w:val="0"/>
      <w:marRight w:val="0"/>
      <w:marTop w:val="0"/>
      <w:marBottom w:val="0"/>
      <w:divBdr>
        <w:top w:val="none" w:sz="0" w:space="0" w:color="auto"/>
        <w:left w:val="none" w:sz="0" w:space="0" w:color="auto"/>
        <w:bottom w:val="none" w:sz="0" w:space="0" w:color="auto"/>
        <w:right w:val="none" w:sz="0" w:space="0" w:color="auto"/>
      </w:divBdr>
    </w:div>
    <w:div w:id="1136677538">
      <w:bodyDiv w:val="1"/>
      <w:marLeft w:val="0"/>
      <w:marRight w:val="0"/>
      <w:marTop w:val="0"/>
      <w:marBottom w:val="0"/>
      <w:divBdr>
        <w:top w:val="none" w:sz="0" w:space="0" w:color="auto"/>
        <w:left w:val="none" w:sz="0" w:space="0" w:color="auto"/>
        <w:bottom w:val="none" w:sz="0" w:space="0" w:color="auto"/>
        <w:right w:val="none" w:sz="0" w:space="0" w:color="auto"/>
      </w:divBdr>
    </w:div>
    <w:div w:id="1189299875">
      <w:bodyDiv w:val="1"/>
      <w:marLeft w:val="0"/>
      <w:marRight w:val="0"/>
      <w:marTop w:val="0"/>
      <w:marBottom w:val="0"/>
      <w:divBdr>
        <w:top w:val="none" w:sz="0" w:space="0" w:color="auto"/>
        <w:left w:val="none" w:sz="0" w:space="0" w:color="auto"/>
        <w:bottom w:val="none" w:sz="0" w:space="0" w:color="auto"/>
        <w:right w:val="none" w:sz="0" w:space="0" w:color="auto"/>
      </w:divBdr>
    </w:div>
    <w:div w:id="1254431493">
      <w:bodyDiv w:val="1"/>
      <w:marLeft w:val="0"/>
      <w:marRight w:val="0"/>
      <w:marTop w:val="0"/>
      <w:marBottom w:val="0"/>
      <w:divBdr>
        <w:top w:val="none" w:sz="0" w:space="0" w:color="auto"/>
        <w:left w:val="none" w:sz="0" w:space="0" w:color="auto"/>
        <w:bottom w:val="none" w:sz="0" w:space="0" w:color="auto"/>
        <w:right w:val="none" w:sz="0" w:space="0" w:color="auto"/>
      </w:divBdr>
    </w:div>
    <w:div w:id="1301114488">
      <w:bodyDiv w:val="1"/>
      <w:marLeft w:val="0"/>
      <w:marRight w:val="0"/>
      <w:marTop w:val="0"/>
      <w:marBottom w:val="0"/>
      <w:divBdr>
        <w:top w:val="none" w:sz="0" w:space="0" w:color="auto"/>
        <w:left w:val="none" w:sz="0" w:space="0" w:color="auto"/>
        <w:bottom w:val="none" w:sz="0" w:space="0" w:color="auto"/>
        <w:right w:val="none" w:sz="0" w:space="0" w:color="auto"/>
      </w:divBdr>
    </w:div>
    <w:div w:id="1304040791">
      <w:bodyDiv w:val="1"/>
      <w:marLeft w:val="0"/>
      <w:marRight w:val="0"/>
      <w:marTop w:val="0"/>
      <w:marBottom w:val="0"/>
      <w:divBdr>
        <w:top w:val="none" w:sz="0" w:space="0" w:color="auto"/>
        <w:left w:val="none" w:sz="0" w:space="0" w:color="auto"/>
        <w:bottom w:val="none" w:sz="0" w:space="0" w:color="auto"/>
        <w:right w:val="none" w:sz="0" w:space="0" w:color="auto"/>
      </w:divBdr>
    </w:div>
    <w:div w:id="1365671540">
      <w:bodyDiv w:val="1"/>
      <w:marLeft w:val="0"/>
      <w:marRight w:val="0"/>
      <w:marTop w:val="0"/>
      <w:marBottom w:val="0"/>
      <w:divBdr>
        <w:top w:val="none" w:sz="0" w:space="0" w:color="auto"/>
        <w:left w:val="none" w:sz="0" w:space="0" w:color="auto"/>
        <w:bottom w:val="none" w:sz="0" w:space="0" w:color="auto"/>
        <w:right w:val="none" w:sz="0" w:space="0" w:color="auto"/>
      </w:divBdr>
    </w:div>
    <w:div w:id="1440100288">
      <w:bodyDiv w:val="1"/>
      <w:marLeft w:val="0"/>
      <w:marRight w:val="0"/>
      <w:marTop w:val="0"/>
      <w:marBottom w:val="0"/>
      <w:divBdr>
        <w:top w:val="none" w:sz="0" w:space="0" w:color="auto"/>
        <w:left w:val="none" w:sz="0" w:space="0" w:color="auto"/>
        <w:bottom w:val="none" w:sz="0" w:space="0" w:color="auto"/>
        <w:right w:val="none" w:sz="0" w:space="0" w:color="auto"/>
      </w:divBdr>
    </w:div>
    <w:div w:id="1468742240">
      <w:bodyDiv w:val="1"/>
      <w:marLeft w:val="0"/>
      <w:marRight w:val="0"/>
      <w:marTop w:val="0"/>
      <w:marBottom w:val="0"/>
      <w:divBdr>
        <w:top w:val="none" w:sz="0" w:space="0" w:color="auto"/>
        <w:left w:val="none" w:sz="0" w:space="0" w:color="auto"/>
        <w:bottom w:val="none" w:sz="0" w:space="0" w:color="auto"/>
        <w:right w:val="none" w:sz="0" w:space="0" w:color="auto"/>
      </w:divBdr>
    </w:div>
    <w:div w:id="1489830064">
      <w:bodyDiv w:val="1"/>
      <w:marLeft w:val="0"/>
      <w:marRight w:val="0"/>
      <w:marTop w:val="0"/>
      <w:marBottom w:val="0"/>
      <w:divBdr>
        <w:top w:val="none" w:sz="0" w:space="0" w:color="auto"/>
        <w:left w:val="none" w:sz="0" w:space="0" w:color="auto"/>
        <w:bottom w:val="none" w:sz="0" w:space="0" w:color="auto"/>
        <w:right w:val="none" w:sz="0" w:space="0" w:color="auto"/>
      </w:divBdr>
    </w:div>
    <w:div w:id="1497502877">
      <w:bodyDiv w:val="1"/>
      <w:marLeft w:val="0"/>
      <w:marRight w:val="0"/>
      <w:marTop w:val="0"/>
      <w:marBottom w:val="0"/>
      <w:divBdr>
        <w:top w:val="none" w:sz="0" w:space="0" w:color="auto"/>
        <w:left w:val="none" w:sz="0" w:space="0" w:color="auto"/>
        <w:bottom w:val="none" w:sz="0" w:space="0" w:color="auto"/>
        <w:right w:val="none" w:sz="0" w:space="0" w:color="auto"/>
      </w:divBdr>
    </w:div>
    <w:div w:id="1534657515">
      <w:bodyDiv w:val="1"/>
      <w:marLeft w:val="0"/>
      <w:marRight w:val="0"/>
      <w:marTop w:val="0"/>
      <w:marBottom w:val="0"/>
      <w:divBdr>
        <w:top w:val="none" w:sz="0" w:space="0" w:color="auto"/>
        <w:left w:val="none" w:sz="0" w:space="0" w:color="auto"/>
        <w:bottom w:val="none" w:sz="0" w:space="0" w:color="auto"/>
        <w:right w:val="none" w:sz="0" w:space="0" w:color="auto"/>
      </w:divBdr>
    </w:div>
    <w:div w:id="1575046372">
      <w:bodyDiv w:val="1"/>
      <w:marLeft w:val="0"/>
      <w:marRight w:val="0"/>
      <w:marTop w:val="0"/>
      <w:marBottom w:val="0"/>
      <w:divBdr>
        <w:top w:val="none" w:sz="0" w:space="0" w:color="auto"/>
        <w:left w:val="none" w:sz="0" w:space="0" w:color="auto"/>
        <w:bottom w:val="none" w:sz="0" w:space="0" w:color="auto"/>
        <w:right w:val="none" w:sz="0" w:space="0" w:color="auto"/>
      </w:divBdr>
    </w:div>
    <w:div w:id="1607233751">
      <w:bodyDiv w:val="1"/>
      <w:marLeft w:val="0"/>
      <w:marRight w:val="0"/>
      <w:marTop w:val="0"/>
      <w:marBottom w:val="0"/>
      <w:divBdr>
        <w:top w:val="none" w:sz="0" w:space="0" w:color="auto"/>
        <w:left w:val="none" w:sz="0" w:space="0" w:color="auto"/>
        <w:bottom w:val="none" w:sz="0" w:space="0" w:color="auto"/>
        <w:right w:val="none" w:sz="0" w:space="0" w:color="auto"/>
      </w:divBdr>
    </w:div>
    <w:div w:id="1635480758">
      <w:bodyDiv w:val="1"/>
      <w:marLeft w:val="0"/>
      <w:marRight w:val="0"/>
      <w:marTop w:val="0"/>
      <w:marBottom w:val="0"/>
      <w:divBdr>
        <w:top w:val="none" w:sz="0" w:space="0" w:color="auto"/>
        <w:left w:val="none" w:sz="0" w:space="0" w:color="auto"/>
        <w:bottom w:val="none" w:sz="0" w:space="0" w:color="auto"/>
        <w:right w:val="none" w:sz="0" w:space="0" w:color="auto"/>
      </w:divBdr>
    </w:div>
    <w:div w:id="1635597151">
      <w:bodyDiv w:val="1"/>
      <w:marLeft w:val="0"/>
      <w:marRight w:val="0"/>
      <w:marTop w:val="0"/>
      <w:marBottom w:val="0"/>
      <w:divBdr>
        <w:top w:val="none" w:sz="0" w:space="0" w:color="auto"/>
        <w:left w:val="none" w:sz="0" w:space="0" w:color="auto"/>
        <w:bottom w:val="none" w:sz="0" w:space="0" w:color="auto"/>
        <w:right w:val="none" w:sz="0" w:space="0" w:color="auto"/>
      </w:divBdr>
    </w:div>
    <w:div w:id="1641694278">
      <w:bodyDiv w:val="1"/>
      <w:marLeft w:val="0"/>
      <w:marRight w:val="0"/>
      <w:marTop w:val="0"/>
      <w:marBottom w:val="0"/>
      <w:divBdr>
        <w:top w:val="none" w:sz="0" w:space="0" w:color="auto"/>
        <w:left w:val="none" w:sz="0" w:space="0" w:color="auto"/>
        <w:bottom w:val="none" w:sz="0" w:space="0" w:color="auto"/>
        <w:right w:val="none" w:sz="0" w:space="0" w:color="auto"/>
      </w:divBdr>
    </w:div>
    <w:div w:id="1650861597">
      <w:bodyDiv w:val="1"/>
      <w:marLeft w:val="0"/>
      <w:marRight w:val="0"/>
      <w:marTop w:val="0"/>
      <w:marBottom w:val="0"/>
      <w:divBdr>
        <w:top w:val="none" w:sz="0" w:space="0" w:color="auto"/>
        <w:left w:val="none" w:sz="0" w:space="0" w:color="auto"/>
        <w:bottom w:val="none" w:sz="0" w:space="0" w:color="auto"/>
        <w:right w:val="none" w:sz="0" w:space="0" w:color="auto"/>
      </w:divBdr>
    </w:div>
    <w:div w:id="1657759034">
      <w:bodyDiv w:val="1"/>
      <w:marLeft w:val="0"/>
      <w:marRight w:val="0"/>
      <w:marTop w:val="0"/>
      <w:marBottom w:val="0"/>
      <w:divBdr>
        <w:top w:val="none" w:sz="0" w:space="0" w:color="auto"/>
        <w:left w:val="none" w:sz="0" w:space="0" w:color="auto"/>
        <w:bottom w:val="none" w:sz="0" w:space="0" w:color="auto"/>
        <w:right w:val="none" w:sz="0" w:space="0" w:color="auto"/>
      </w:divBdr>
    </w:div>
    <w:div w:id="1716351959">
      <w:bodyDiv w:val="1"/>
      <w:marLeft w:val="0"/>
      <w:marRight w:val="0"/>
      <w:marTop w:val="0"/>
      <w:marBottom w:val="0"/>
      <w:divBdr>
        <w:top w:val="none" w:sz="0" w:space="0" w:color="auto"/>
        <w:left w:val="none" w:sz="0" w:space="0" w:color="auto"/>
        <w:bottom w:val="none" w:sz="0" w:space="0" w:color="auto"/>
        <w:right w:val="none" w:sz="0" w:space="0" w:color="auto"/>
      </w:divBdr>
    </w:div>
    <w:div w:id="1753621076">
      <w:bodyDiv w:val="1"/>
      <w:marLeft w:val="0"/>
      <w:marRight w:val="0"/>
      <w:marTop w:val="0"/>
      <w:marBottom w:val="0"/>
      <w:divBdr>
        <w:top w:val="none" w:sz="0" w:space="0" w:color="auto"/>
        <w:left w:val="none" w:sz="0" w:space="0" w:color="auto"/>
        <w:bottom w:val="none" w:sz="0" w:space="0" w:color="auto"/>
        <w:right w:val="none" w:sz="0" w:space="0" w:color="auto"/>
      </w:divBdr>
    </w:div>
    <w:div w:id="1771659293">
      <w:bodyDiv w:val="1"/>
      <w:marLeft w:val="0"/>
      <w:marRight w:val="0"/>
      <w:marTop w:val="0"/>
      <w:marBottom w:val="0"/>
      <w:divBdr>
        <w:top w:val="none" w:sz="0" w:space="0" w:color="auto"/>
        <w:left w:val="none" w:sz="0" w:space="0" w:color="auto"/>
        <w:bottom w:val="none" w:sz="0" w:space="0" w:color="auto"/>
        <w:right w:val="none" w:sz="0" w:space="0" w:color="auto"/>
      </w:divBdr>
    </w:div>
    <w:div w:id="1790394998">
      <w:bodyDiv w:val="1"/>
      <w:marLeft w:val="0"/>
      <w:marRight w:val="0"/>
      <w:marTop w:val="0"/>
      <w:marBottom w:val="0"/>
      <w:divBdr>
        <w:top w:val="none" w:sz="0" w:space="0" w:color="auto"/>
        <w:left w:val="none" w:sz="0" w:space="0" w:color="auto"/>
        <w:bottom w:val="none" w:sz="0" w:space="0" w:color="auto"/>
        <w:right w:val="none" w:sz="0" w:space="0" w:color="auto"/>
      </w:divBdr>
    </w:div>
    <w:div w:id="1799837362">
      <w:bodyDiv w:val="1"/>
      <w:marLeft w:val="0"/>
      <w:marRight w:val="0"/>
      <w:marTop w:val="0"/>
      <w:marBottom w:val="0"/>
      <w:divBdr>
        <w:top w:val="none" w:sz="0" w:space="0" w:color="auto"/>
        <w:left w:val="none" w:sz="0" w:space="0" w:color="auto"/>
        <w:bottom w:val="none" w:sz="0" w:space="0" w:color="auto"/>
        <w:right w:val="none" w:sz="0" w:space="0" w:color="auto"/>
      </w:divBdr>
    </w:div>
    <w:div w:id="1852448064">
      <w:bodyDiv w:val="1"/>
      <w:marLeft w:val="0"/>
      <w:marRight w:val="0"/>
      <w:marTop w:val="0"/>
      <w:marBottom w:val="0"/>
      <w:divBdr>
        <w:top w:val="none" w:sz="0" w:space="0" w:color="auto"/>
        <w:left w:val="none" w:sz="0" w:space="0" w:color="auto"/>
        <w:bottom w:val="none" w:sz="0" w:space="0" w:color="auto"/>
        <w:right w:val="none" w:sz="0" w:space="0" w:color="auto"/>
      </w:divBdr>
    </w:div>
    <w:div w:id="1933005758">
      <w:bodyDiv w:val="1"/>
      <w:marLeft w:val="0"/>
      <w:marRight w:val="0"/>
      <w:marTop w:val="0"/>
      <w:marBottom w:val="0"/>
      <w:divBdr>
        <w:top w:val="none" w:sz="0" w:space="0" w:color="auto"/>
        <w:left w:val="none" w:sz="0" w:space="0" w:color="auto"/>
        <w:bottom w:val="none" w:sz="0" w:space="0" w:color="auto"/>
        <w:right w:val="none" w:sz="0" w:space="0" w:color="auto"/>
      </w:divBdr>
    </w:div>
    <w:div w:id="1980377287">
      <w:bodyDiv w:val="1"/>
      <w:marLeft w:val="0"/>
      <w:marRight w:val="0"/>
      <w:marTop w:val="0"/>
      <w:marBottom w:val="0"/>
      <w:divBdr>
        <w:top w:val="none" w:sz="0" w:space="0" w:color="auto"/>
        <w:left w:val="none" w:sz="0" w:space="0" w:color="auto"/>
        <w:bottom w:val="none" w:sz="0" w:space="0" w:color="auto"/>
        <w:right w:val="none" w:sz="0" w:space="0" w:color="auto"/>
      </w:divBdr>
    </w:div>
    <w:div w:id="1990743099">
      <w:bodyDiv w:val="1"/>
      <w:marLeft w:val="0"/>
      <w:marRight w:val="0"/>
      <w:marTop w:val="0"/>
      <w:marBottom w:val="0"/>
      <w:divBdr>
        <w:top w:val="none" w:sz="0" w:space="0" w:color="auto"/>
        <w:left w:val="none" w:sz="0" w:space="0" w:color="auto"/>
        <w:bottom w:val="none" w:sz="0" w:space="0" w:color="auto"/>
        <w:right w:val="none" w:sz="0" w:space="0" w:color="auto"/>
      </w:divBdr>
    </w:div>
    <w:div w:id="1999385142">
      <w:bodyDiv w:val="1"/>
      <w:marLeft w:val="0"/>
      <w:marRight w:val="0"/>
      <w:marTop w:val="0"/>
      <w:marBottom w:val="0"/>
      <w:divBdr>
        <w:top w:val="none" w:sz="0" w:space="0" w:color="auto"/>
        <w:left w:val="none" w:sz="0" w:space="0" w:color="auto"/>
        <w:bottom w:val="none" w:sz="0" w:space="0" w:color="auto"/>
        <w:right w:val="none" w:sz="0" w:space="0" w:color="auto"/>
      </w:divBdr>
    </w:div>
    <w:div w:id="2044094281">
      <w:bodyDiv w:val="1"/>
      <w:marLeft w:val="0"/>
      <w:marRight w:val="0"/>
      <w:marTop w:val="0"/>
      <w:marBottom w:val="0"/>
      <w:divBdr>
        <w:top w:val="none" w:sz="0" w:space="0" w:color="auto"/>
        <w:left w:val="none" w:sz="0" w:space="0" w:color="auto"/>
        <w:bottom w:val="none" w:sz="0" w:space="0" w:color="auto"/>
        <w:right w:val="none" w:sz="0" w:space="0" w:color="auto"/>
      </w:divBdr>
    </w:div>
    <w:div w:id="2072457386">
      <w:bodyDiv w:val="1"/>
      <w:marLeft w:val="0"/>
      <w:marRight w:val="0"/>
      <w:marTop w:val="0"/>
      <w:marBottom w:val="0"/>
      <w:divBdr>
        <w:top w:val="none" w:sz="0" w:space="0" w:color="auto"/>
        <w:left w:val="none" w:sz="0" w:space="0" w:color="auto"/>
        <w:bottom w:val="none" w:sz="0" w:space="0" w:color="auto"/>
        <w:right w:val="none" w:sz="0" w:space="0" w:color="auto"/>
      </w:divBdr>
    </w:div>
    <w:div w:id="2100448402">
      <w:bodyDiv w:val="1"/>
      <w:marLeft w:val="0"/>
      <w:marRight w:val="0"/>
      <w:marTop w:val="0"/>
      <w:marBottom w:val="0"/>
      <w:divBdr>
        <w:top w:val="none" w:sz="0" w:space="0" w:color="auto"/>
        <w:left w:val="none" w:sz="0" w:space="0" w:color="auto"/>
        <w:bottom w:val="none" w:sz="0" w:space="0" w:color="auto"/>
        <w:right w:val="none" w:sz="0" w:space="0" w:color="auto"/>
      </w:divBdr>
    </w:div>
    <w:div w:id="2107264944">
      <w:bodyDiv w:val="1"/>
      <w:marLeft w:val="0"/>
      <w:marRight w:val="0"/>
      <w:marTop w:val="0"/>
      <w:marBottom w:val="0"/>
      <w:divBdr>
        <w:top w:val="none" w:sz="0" w:space="0" w:color="auto"/>
        <w:left w:val="none" w:sz="0" w:space="0" w:color="auto"/>
        <w:bottom w:val="none" w:sz="0" w:space="0" w:color="auto"/>
        <w:right w:val="none" w:sz="0" w:space="0" w:color="auto"/>
      </w:divBdr>
    </w:div>
    <w:div w:id="2107531598">
      <w:bodyDiv w:val="1"/>
      <w:marLeft w:val="0"/>
      <w:marRight w:val="0"/>
      <w:marTop w:val="0"/>
      <w:marBottom w:val="0"/>
      <w:divBdr>
        <w:top w:val="none" w:sz="0" w:space="0" w:color="auto"/>
        <w:left w:val="none" w:sz="0" w:space="0" w:color="auto"/>
        <w:bottom w:val="none" w:sz="0" w:space="0" w:color="auto"/>
        <w:right w:val="none" w:sz="0" w:space="0" w:color="auto"/>
      </w:divBdr>
    </w:div>
    <w:div w:id="2109617401">
      <w:bodyDiv w:val="1"/>
      <w:marLeft w:val="0"/>
      <w:marRight w:val="0"/>
      <w:marTop w:val="0"/>
      <w:marBottom w:val="0"/>
      <w:divBdr>
        <w:top w:val="none" w:sz="0" w:space="0" w:color="auto"/>
        <w:left w:val="none" w:sz="0" w:space="0" w:color="auto"/>
        <w:bottom w:val="none" w:sz="0" w:space="0" w:color="auto"/>
        <w:right w:val="none" w:sz="0" w:space="0" w:color="auto"/>
      </w:divBdr>
    </w:div>
    <w:div w:id="210976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emf"/><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sv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svg"/><Relationship Id="rId27" Type="http://schemas.openxmlformats.org/officeDocument/2006/relationships/glossaryDocument" Target="glossary/document.xml"/></Relationships>
</file>

<file path=word/documenttasks/documenttasks1.xml><?xml version="1.0" encoding="utf-8"?>
<t:Tasks xmlns:t="http://schemas.microsoft.com/office/tasks/2019/documenttasks" xmlns:oel="http://schemas.microsoft.com/office/2019/extlst">
  <t:Task id="{1E09E30C-567F-498E-BC18-F12044C9558D}">
    <t:Anchor>
      <t:Comment id="81880481"/>
    </t:Anchor>
    <t:History>
      <t:Event id="{27CA706E-422C-45E1-8F5D-2AF0097D41CF}" time="2023-06-14T20:02:44.144Z">
        <t:Attribution userId="S::mchung@nrel.gov::c3735374-ead5-4b07-b07f-da02bbba2470" userProvider="AD" userName="Chung, Mark"/>
        <t:Anchor>
          <t:Comment id="81880481"/>
        </t:Anchor>
        <t:Create/>
      </t:Event>
      <t:Event id="{53C46ADE-CB7E-417F-A81E-E718302DF94D}" time="2023-06-14T20:02:44.144Z">
        <t:Attribution userId="S::mchung@nrel.gov::c3735374-ead5-4b07-b07f-da02bbba2470" userProvider="AD" userName="Chung, Mark"/>
        <t:Anchor>
          <t:Comment id="81880481"/>
        </t:Anchor>
        <t:Assign userId="S::lsittler@nrel.gov::533bde1c-eedd-4090-bf42-7d6e8756f7f6" userProvider="AD" userName="Sittler, Lauren"/>
      </t:Event>
      <t:Event id="{4E7FF15F-6A7D-43DE-B11B-5CF8736A4932}" time="2023-06-14T20:02:44.144Z">
        <t:Attribution userId="S::mchung@nrel.gov::c3735374-ead5-4b07-b07f-da02bbba2470" userProvider="AD" userName="Chung, Mark"/>
        <t:Anchor>
          <t:Comment id="81880481"/>
        </t:Anchor>
        <t:SetTitle title="@Sittler, Lauren - fill in with industry metrics and brief description of methodology."/>
      </t:Event>
      <t:Event id="{3FD5FAF6-338E-413B-8322-B1BB41F9099E}" time="2023-08-17T22:27:02.037Z">
        <t:Attribution userId="S::mchung@nrel.gov::c3735374-ead5-4b07-b07f-da02bbba2470" userProvider="AD" userName="Chung, Mark"/>
        <t:Progress percentComplete="100"/>
      </t:Event>
    </t:History>
  </t:Task>
  <t:Task id="{92C4460C-DD9C-1E4C-B7FA-E43216AB5BEC}">
    <t:Anchor>
      <t:Comment id="674519425"/>
    </t:Anchor>
    <t:History>
      <t:Event id="{72D552D8-DA77-6942-A6F4-06A917C4052D}" time="2023-06-14T20:21:37.783Z">
        <t:Attribution userId="S::ktopolsk@nrel.gov::10561763-78a0-45d5-8691-c0ed9ccf2f4b" userProvider="AD" userName="Topolski, Kevin"/>
        <t:Anchor>
          <t:Comment id="674519425"/>
        </t:Anchor>
        <t:Create/>
      </t:Event>
      <t:Event id="{DF62CF82-2FC6-0643-AAF7-FF892795504F}" time="2023-06-14T20:21:37.783Z">
        <t:Attribution userId="S::ktopolsk@nrel.gov::10561763-78a0-45d5-8691-c0ed9ccf2f4b" userProvider="AD" userName="Topolski, Kevin"/>
        <t:Anchor>
          <t:Comment id="674519425"/>
        </t:Anchor>
        <t:Assign userId="S::mchung@nrel.gov::c3735374-ead5-4b07-b07f-da02bbba2470" userProvider="AD" userName="Chung, Mark"/>
      </t:Event>
      <t:Event id="{36F72CA9-D0F9-8741-9F56-3D106019BEE2}" time="2023-06-14T20:21:37.783Z">
        <t:Attribution userId="S::ktopolsk@nrel.gov::10561763-78a0-45d5-8691-c0ed9ccf2f4b" userProvider="AD" userName="Topolski, Kevin"/>
        <t:Anchor>
          <t:Comment id="674519425"/>
        </t:Anchor>
        <t:SetTitle title="@Chung, Mark, See presentation in our Zotero. This contains high level info on AHJs extending land and construction permits"/>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6D62DA710504DC4BC32018AF4DFEFCA"/>
        <w:category>
          <w:name w:val="General"/>
          <w:gallery w:val="placeholder"/>
        </w:category>
        <w:types>
          <w:type w:val="bbPlcHdr"/>
        </w:types>
        <w:behaviors>
          <w:behavior w:val="content"/>
        </w:behaviors>
        <w:guid w:val="{D9329FA9-0E94-4BA9-A33F-B2CCB47C344D}"/>
      </w:docPartPr>
      <w:docPartBody>
        <w:p w:rsidR="009B66D7" w:rsidRDefault="009B66D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70"/>
    <w:rsid w:val="00081808"/>
    <w:rsid w:val="001D5B14"/>
    <w:rsid w:val="001E19BA"/>
    <w:rsid w:val="0027101E"/>
    <w:rsid w:val="003F7010"/>
    <w:rsid w:val="0040296E"/>
    <w:rsid w:val="004818FA"/>
    <w:rsid w:val="004A41EB"/>
    <w:rsid w:val="0067097C"/>
    <w:rsid w:val="008A5DB8"/>
    <w:rsid w:val="008E336F"/>
    <w:rsid w:val="00947D03"/>
    <w:rsid w:val="00991108"/>
    <w:rsid w:val="009B66D7"/>
    <w:rsid w:val="00A74E64"/>
    <w:rsid w:val="00AB3FDC"/>
    <w:rsid w:val="00CA2981"/>
    <w:rsid w:val="00DE0A71"/>
    <w:rsid w:val="00DE760F"/>
    <w:rsid w:val="00E72670"/>
    <w:rsid w:val="00F45A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GB.XSL" StyleName="GB7714" Version="2005">
  <b:Source>
    <b:Tag>Aca19</b:Tag>
    <b:SourceType>JournalArticle</b:SourceType>
    <b:Guid>{1A616250-79F9-4CE3-AB9D-B4CFC1C8D454}</b:Guid>
    <b:Author>
      <b:Author>
        <b:NameList>
          <b:Person>
            <b:Last>Acar</b:Last>
            <b:First>Canan</b:First>
          </b:Person>
          <b:Person>
            <b:Last>Dincer</b:Last>
            <b:First>Ibrahim</b:First>
          </b:Person>
        </b:NameList>
      </b:Author>
    </b:Author>
    <b:Title>Review and evaluation of hydrogen production options for better environment</b:Title>
    <b:JournalName>Journal of Cleaner Production</b:JournalName>
    <b:Year>2019</b:Year>
    <b:Pages>835-847</b:Pages>
    <b:RefOrder>1</b:RefOrder>
  </b:Source>
  <b:Source>
    <b:Tag>Hac14</b:Tag>
    <b:SourceType>Report</b:SourceType>
    <b:Guid>{D3957968-8AEF-4C90-A245-BABFDDD9B2CC}</b:Guid>
    <b:Title>A Systems Approach to Assessing the Sustainability of Hybrid Community Energy Systems</b:Title>
    <b:Year>2014</b:Year>
    <b:Author>
      <b:Author>
        <b:NameList>
          <b:Person>
            <b:Last>Hacatoglu</b:Last>
            <b:First>Kevork</b:First>
          </b:Person>
        </b:NameList>
      </b:Author>
    </b:Author>
    <b:RefOrder>4</b:RefOrder>
  </b:Source>
  <b:Source>
    <b:Tag>Aca18</b:Tag>
    <b:SourceType>JournalArticle</b:SourceType>
    <b:Guid>{C06FC291-7A6F-4375-84A4-6A3847E1A152}</b:Guid>
    <b:Author>
      <b:Author>
        <b:NameList>
          <b:Person>
            <b:Last>Acar</b:Last>
            <b:First>Canan</b:First>
          </b:Person>
          <b:Person>
            <b:Last>Beskese</b:Last>
            <b:First>Ahmet</b:First>
          </b:Person>
          <b:Person>
            <b:Last>Temur</b:Last>
            <b:First>Gul</b:First>
            <b:Middle>Tekin</b:Middle>
          </b:Person>
        </b:NameList>
      </b:Author>
    </b:Author>
    <b:Title>Sustinability analysis of different hydrogen production options using hesitant fuzzy AHP</b:Title>
    <b:JournalName>Hydrogen Energy</b:JournalName>
    <b:Year>2018</b:Year>
    <b:RefOrder>2</b:RefOrder>
  </b:Source>
  <b:Source>
    <b:Tag>Xia21</b:Tag>
    <b:SourceType>JournalArticle</b:SourceType>
    <b:Guid>{DACD15AF-34BD-4B9B-810A-7381F547757B}</b:Guid>
    <b:Author>
      <b:Author>
        <b:NameList>
          <b:Person>
            <b:Last>Xiang</b:Last>
            <b:First>Huang</b:First>
          </b:Person>
          <b:Person>
            <b:Last>Ch</b:Last>
            <b:First>Paramaiah</b:First>
          </b:Person>
          <b:Person>
            <b:Last>Atif Nawaz</b:Last>
            <b:First>Muhammad</b:First>
          </b:Person>
          <b:Person>
            <b:Last>Chupradit</b:Last>
            <b:First>Supat</b:First>
          </b:Person>
          <b:Person>
            <b:Last>Fatima</b:Last>
            <b:First>Arooj</b:First>
          </b:Person>
          <b:Person>
            <b:Last>Sadiq</b:Last>
            <b:First>Muhammad</b:First>
          </b:Person>
        </b:NameList>
      </b:Author>
    </b:Author>
    <b:Title>Integration and economic viability of fueling the future with green hydrogen: An integration of its determinants from renewable economics</b:Title>
    <b:JournalName>Hydrogen Energy</b:JournalName>
    <b:Year>2021</b:Year>
    <b:RefOrder>3</b:RefOrder>
  </b:Source>
  <b:Source>
    <b:Tag>LaF23</b:Tag>
    <b:SourceType>ConferenceProceedings</b:SourceType>
    <b:Guid>{B9D6A14D-9417-4B98-9B67-2A040AFFA0DB}</b:Guid>
    <b:Title>Considerations in Permitting</b:Title>
    <b:Year>2023</b:Year>
    <b:Author>
      <b:Author>
        <b:NameList>
          <b:Person>
            <b:Last>LaFleur</b:Last>
            <b:First>Chris</b:First>
          </b:Person>
        </b:NameList>
      </b:Author>
    </b:Author>
    <b:ConferenceName>Fuel Cell and Hydrogen Energy Seminar</b:ConferenceName>
    <b:RefOrder>5</b:RefOrder>
  </b:Source>
  <b:Source>
    <b:Tag>Hac16</b:Tag>
    <b:SourceType>JournalArticle</b:SourceType>
    <b:Guid>{34FD77CD-591D-4C43-A531-5BD752ACBD17}</b:Guid>
    <b:Title>Sustainability of a wind-hydrogen energy system: Assessment using a novel index and comparison to a conventional gas-fired system</b:Title>
    <b:Year>2016</b:Year>
    <b:Author>
      <b:Author>
        <b:NameList>
          <b:Person>
            <b:Last>Hacatoglu</b:Last>
            <b:First>Kevork</b:First>
          </b:Person>
          <b:Person>
            <b:Last>Dincer</b:Last>
            <b:First>Ibrahim</b:First>
          </b:Person>
          <b:Person>
            <b:Last>Rosen</b:Last>
            <b:First>Marc</b:First>
          </b:Person>
        </b:NameList>
      </b:Author>
    </b:Author>
    <b:JournalName>International Journal of Hydrogen Energy</b:JournalName>
    <b:RefOrder>6</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71D3553A685A524396685A2424A76212" ma:contentTypeVersion="11" ma:contentTypeDescription="Create a new document." ma:contentTypeScope="" ma:versionID="d73b1fdab2303476d6430e93a16d20ce">
  <xsd:schema xmlns:xsd="http://www.w3.org/2001/XMLSchema" xmlns:xs="http://www.w3.org/2001/XMLSchema" xmlns:p="http://schemas.microsoft.com/office/2006/metadata/properties" xmlns:ns2="4c438c6a-222b-40b5-b3e1-760f4dbccdcd" xmlns:ns3="0d9d1229-ccb3-416b-a3fb-cf276d5ee9eb" targetNamespace="http://schemas.microsoft.com/office/2006/metadata/properties" ma:root="true" ma:fieldsID="447f210718db4ef3abe4416355de8f7d" ns2:_="" ns3:_="">
    <xsd:import namespace="4c438c6a-222b-40b5-b3e1-760f4dbccdcd"/>
    <xsd:import namespace="0d9d1229-ccb3-416b-a3fb-cf276d5ee9e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38c6a-222b-40b5-b3e1-760f4dbccd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834da80-57da-4863-8816-2e6886d1e860"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9d1229-ccb3-416b-a3fb-cf276d5ee9e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7d286e3-225c-497b-b1cf-853e0e421c36}" ma:internalName="TaxCatchAll" ma:showField="CatchAllData" ma:web="0d9d1229-ccb3-416b-a3fb-cf276d5ee9e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c438c6a-222b-40b5-b3e1-760f4dbccdcd">
      <Terms xmlns="http://schemas.microsoft.com/office/infopath/2007/PartnerControls"/>
    </lcf76f155ced4ddcb4097134ff3c332f>
    <TaxCatchAll xmlns="0d9d1229-ccb3-416b-a3fb-cf276d5ee9eb" xsi:nil="true"/>
  </documentManagement>
</p:properties>
</file>

<file path=customXml/itemProps1.xml><?xml version="1.0" encoding="utf-8"?>
<ds:datastoreItem xmlns:ds="http://schemas.openxmlformats.org/officeDocument/2006/customXml" ds:itemID="{8CCA497F-3EF7-4FF5-AEBD-27784F908D3B}">
  <ds:schemaRefs>
    <ds:schemaRef ds:uri="http://schemas.microsoft.com/sharepoint/v3/contenttype/forms"/>
  </ds:schemaRefs>
</ds:datastoreItem>
</file>

<file path=customXml/itemProps2.xml><?xml version="1.0" encoding="utf-8"?>
<ds:datastoreItem xmlns:ds="http://schemas.openxmlformats.org/officeDocument/2006/customXml" ds:itemID="{86D6FECD-E0CD-4592-9D4B-A8845F224CAD}">
  <ds:schemaRefs>
    <ds:schemaRef ds:uri="http://schemas.openxmlformats.org/officeDocument/2006/bibliography"/>
  </ds:schemaRefs>
</ds:datastoreItem>
</file>

<file path=customXml/itemProps3.xml><?xml version="1.0" encoding="utf-8"?>
<ds:datastoreItem xmlns:ds="http://schemas.openxmlformats.org/officeDocument/2006/customXml" ds:itemID="{8793D5CE-79AE-4C7D-A4D0-0D3FA6784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38c6a-222b-40b5-b3e1-760f4dbccdcd"/>
    <ds:schemaRef ds:uri="0d9d1229-ccb3-416b-a3fb-cf276d5ee9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3836EE-9E10-4F98-90A0-3F754B740ADD}">
  <ds:schemaRefs>
    <ds:schemaRef ds:uri="http://schemas.microsoft.com/office/2006/metadata/properties"/>
    <ds:schemaRef ds:uri="http://schemas.microsoft.com/office/infopath/2007/PartnerControls"/>
    <ds:schemaRef ds:uri="4c438c6a-222b-40b5-b3e1-760f4dbccdcd"/>
    <ds:schemaRef ds:uri="0d9d1229-ccb3-416b-a3fb-cf276d5ee9e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10266</Words>
  <Characters>58521</Characters>
  <Application>Microsoft Office Word</Application>
  <DocSecurity>4</DocSecurity>
  <Lines>487</Lines>
  <Paragraphs>137</Paragraphs>
  <ScaleCrop>false</ScaleCrop>
  <Company/>
  <LinksUpToDate>false</LinksUpToDate>
  <CharactersWithSpaces>68650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Chung</dc:creator>
  <cp:keywords/>
  <dc:description/>
  <cp:lastModifiedBy>Chung, Mark</cp:lastModifiedBy>
  <cp:revision>961</cp:revision>
  <dcterms:created xsi:type="dcterms:W3CDTF">2023-09-29T18:06:00Z</dcterms:created>
  <dcterms:modified xsi:type="dcterms:W3CDTF">2023-09-29T18:06:00Z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0x01010071D3553A685A524396685A2424A76212</vt:lpwstr>
  </property>
  <property fmtid="{D5CDD505-2E9C-101B-9397-08002B2CF9AE}" pid="3" name="MediaServiceImageTags">
    <vt:lpwstr/>
  </property>
  <property fmtid="{D5CDD505-2E9C-101B-9397-08002B2CF9AE}" pid="4" name="ZOTERO_PREF_1">
    <vt:lpwstr>&lt;data data-version="3" zotero-version="6.0.26"&gt;&lt;session id="UsGjmPmf"/&gt;&lt;style id="http://www.zotero.org/styles/apa" locale="en-US"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y fmtid="{D5CDD505-2E9C-101B-9397-08002B2CF9AE}" pid="6" name="MSIP_Label_95965d95-ecc0-4720-b759-1f33c42ed7da_Enabled">
    <vt:lpwstr>true</vt:lpwstr>
  </property>
  <property fmtid="{D5CDD505-2E9C-101B-9397-08002B2CF9AE}" pid="7" name="MSIP_Label_95965d95-ecc0-4720-b759-1f33c42ed7da_SetDate">
    <vt:lpwstr>2023-09-29T18:06:58Z</vt:lpwstr>
  </property>
  <property fmtid="{D5CDD505-2E9C-101B-9397-08002B2CF9AE}" pid="8" name="MSIP_Label_95965d95-ecc0-4720-b759-1f33c42ed7da_Method">
    <vt:lpwstr>Standard</vt:lpwstr>
  </property>
  <property fmtid="{D5CDD505-2E9C-101B-9397-08002B2CF9AE}" pid="9" name="MSIP_Label_95965d95-ecc0-4720-b759-1f33c42ed7da_Name">
    <vt:lpwstr>General</vt:lpwstr>
  </property>
  <property fmtid="{D5CDD505-2E9C-101B-9397-08002B2CF9AE}" pid="10" name="MSIP_Label_95965d95-ecc0-4720-b759-1f33c42ed7da_SiteId">
    <vt:lpwstr>a0f29d7e-28cd-4f54-8442-7885aee7c080</vt:lpwstr>
  </property>
  <property fmtid="{D5CDD505-2E9C-101B-9397-08002B2CF9AE}" pid="11" name="MSIP_Label_95965d95-ecc0-4720-b759-1f33c42ed7da_ActionId">
    <vt:lpwstr>f12f4f32-2260-4187-9802-7cad112c8add</vt:lpwstr>
  </property>
  <property fmtid="{D5CDD505-2E9C-101B-9397-08002B2CF9AE}" pid="12" name="MSIP_Label_95965d95-ecc0-4720-b759-1f33c42ed7da_ContentBits">
    <vt:lpwstr>0</vt:lpwstr>
  </property>
</Properties>
</file>