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87"/>
        <w:gridCol w:w="2187"/>
        <w:gridCol w:w="2187"/>
        <w:gridCol w:w="2187"/>
        <w:gridCol w:w="2187"/>
      </w:tblGrid>
      <w:tr w:rsidR="00871A44" w:rsidRPr="00D810AE" w14:paraId="4BA8B6DF" w14:textId="77777777" w:rsidTr="0C2CFFAB">
        <w:trPr>
          <w:trHeight w:val="458"/>
        </w:trPr>
        <w:tc>
          <w:tcPr>
            <w:tcW w:w="1093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0C2CFFAB">
        <w:trPr>
          <w:trHeight w:val="432"/>
        </w:trPr>
        <w:tc>
          <w:tcPr>
            <w:tcW w:w="2187"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374" w:type="dxa"/>
            <w:gridSpan w:val="2"/>
            <w:shd w:val="clear" w:color="auto" w:fill="auto"/>
            <w:vAlign w:val="center"/>
          </w:tcPr>
          <w:p w14:paraId="18AF9975" w14:textId="32D02BE4" w:rsidR="0063600E" w:rsidRPr="00D810AE" w:rsidRDefault="00E34EAA" w:rsidP="001722C1">
            <w:pPr>
              <w:spacing w:after="0" w:line="240" w:lineRule="auto"/>
              <w:rPr>
                <w:rFonts w:ascii="Arial" w:hAnsi="Arial" w:cs="Arial"/>
                <w:sz w:val="20"/>
                <w:szCs w:val="20"/>
              </w:rPr>
            </w:pPr>
            <w:r>
              <w:rPr>
                <w:rFonts w:ascii="Arial" w:hAnsi="Arial" w:cs="Arial"/>
                <w:sz w:val="20"/>
                <w:szCs w:val="20"/>
              </w:rPr>
              <w:t>Genevieve Saur</w:t>
            </w:r>
          </w:p>
        </w:tc>
        <w:tc>
          <w:tcPr>
            <w:tcW w:w="2187"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87" w:type="dxa"/>
            <w:shd w:val="clear" w:color="auto" w:fill="auto"/>
            <w:vAlign w:val="center"/>
          </w:tcPr>
          <w:p w14:paraId="1F8D35CE" w14:textId="3B2C6BCC" w:rsidR="0063600E" w:rsidRPr="00D810AE" w:rsidRDefault="00E34EAA" w:rsidP="001722C1">
            <w:pPr>
              <w:spacing w:after="0" w:line="240" w:lineRule="auto"/>
              <w:rPr>
                <w:rFonts w:ascii="Arial" w:hAnsi="Arial" w:cs="Arial"/>
                <w:sz w:val="20"/>
                <w:szCs w:val="20"/>
              </w:rPr>
            </w:pPr>
            <w:r>
              <w:rPr>
                <w:rFonts w:ascii="Arial" w:hAnsi="Arial" w:cs="Arial"/>
                <w:sz w:val="20"/>
                <w:szCs w:val="20"/>
              </w:rPr>
              <w:t>11841</w:t>
            </w:r>
          </w:p>
        </w:tc>
      </w:tr>
      <w:tr w:rsidR="0063600E" w:rsidRPr="00D810AE" w14:paraId="7F3E0F9C" w14:textId="77777777" w:rsidTr="0C2CFFAB">
        <w:trPr>
          <w:trHeight w:val="432"/>
        </w:trPr>
        <w:tc>
          <w:tcPr>
            <w:tcW w:w="2187"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374" w:type="dxa"/>
            <w:gridSpan w:val="2"/>
            <w:shd w:val="clear" w:color="auto" w:fill="auto"/>
            <w:vAlign w:val="center"/>
          </w:tcPr>
          <w:p w14:paraId="0FECCC73" w14:textId="1F7E5FE8" w:rsidR="0063600E" w:rsidRPr="00D810AE" w:rsidRDefault="00E34EAA" w:rsidP="001722C1">
            <w:pPr>
              <w:spacing w:after="0" w:line="240" w:lineRule="auto"/>
              <w:rPr>
                <w:rFonts w:ascii="Arial" w:hAnsi="Arial" w:cs="Arial"/>
                <w:sz w:val="20"/>
                <w:szCs w:val="20"/>
              </w:rPr>
            </w:pPr>
            <w:r>
              <w:rPr>
                <w:rFonts w:ascii="Arial" w:hAnsi="Arial" w:cs="Arial"/>
                <w:sz w:val="20"/>
                <w:szCs w:val="20"/>
              </w:rPr>
              <w:t>October 1, 2023-September 30, 2024</w:t>
            </w:r>
          </w:p>
        </w:tc>
        <w:tc>
          <w:tcPr>
            <w:tcW w:w="2187"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87" w:type="dxa"/>
            <w:shd w:val="clear" w:color="auto" w:fill="auto"/>
            <w:vAlign w:val="center"/>
          </w:tcPr>
          <w:p w14:paraId="6E34EB91" w14:textId="031DF599" w:rsidR="0063600E" w:rsidRPr="00D810AE" w:rsidRDefault="00E34EAA"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0C2CFFAB">
        <w:trPr>
          <w:trHeight w:val="360"/>
        </w:trPr>
        <w:tc>
          <w:tcPr>
            <w:tcW w:w="1093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0C2CFFAB">
        <w:trPr>
          <w:trHeight w:val="359"/>
        </w:trPr>
        <w:tc>
          <w:tcPr>
            <w:tcW w:w="4374"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561"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0C2CFFAB">
        <w:trPr>
          <w:trHeight w:val="827"/>
        </w:trPr>
        <w:tc>
          <w:tcPr>
            <w:tcW w:w="4374" w:type="dxa"/>
            <w:gridSpan w:val="2"/>
            <w:shd w:val="clear" w:color="auto" w:fill="auto"/>
          </w:tcPr>
          <w:p w14:paraId="0521E73E" w14:textId="7C10E243" w:rsidR="00A2327C" w:rsidRPr="00D810AE" w:rsidRDefault="00E34EAA"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Develop initial online portal for hycred.nrel.gov and start collecting data for HyCReD from at least 2 industry collaborators.</w:t>
            </w:r>
          </w:p>
        </w:tc>
        <w:tc>
          <w:tcPr>
            <w:tcW w:w="6561" w:type="dxa"/>
            <w:gridSpan w:val="3"/>
            <w:shd w:val="clear" w:color="auto" w:fill="auto"/>
          </w:tcPr>
          <w:p w14:paraId="178CE916" w14:textId="77777777" w:rsidR="00E34EAA" w:rsidRPr="00D7305C" w:rsidRDefault="00E34EAA" w:rsidP="00E34EAA">
            <w:pPr>
              <w:spacing w:after="0" w:line="240" w:lineRule="auto"/>
              <w:rPr>
                <w:rFonts w:asciiTheme="minorHAnsi" w:hAnsiTheme="minorHAnsi" w:cstheme="minorHAnsi"/>
              </w:rPr>
            </w:pPr>
            <w:r w:rsidRPr="00D7305C">
              <w:rPr>
                <w:rFonts w:asciiTheme="minorHAnsi" w:hAnsiTheme="minorHAnsi" w:cstheme="minorHAnsi"/>
              </w:rPr>
              <w:t>Funded Proposals</w:t>
            </w:r>
          </w:p>
          <w:p w14:paraId="13D6BD7F" w14:textId="77777777" w:rsidR="00E34EAA" w:rsidRPr="00D7305C" w:rsidRDefault="00E34EAA" w:rsidP="00E34EAA">
            <w:pPr>
              <w:pStyle w:val="ListParagraph"/>
              <w:numPr>
                <w:ilvl w:val="0"/>
                <w:numId w:val="11"/>
              </w:numPr>
              <w:spacing w:after="0" w:line="240" w:lineRule="auto"/>
              <w:rPr>
                <w:rFonts w:asciiTheme="minorHAnsi" w:hAnsiTheme="minorHAnsi" w:cstheme="minorHAnsi"/>
              </w:rPr>
            </w:pPr>
            <w:r w:rsidRPr="00D7305C">
              <w:rPr>
                <w:rFonts w:asciiTheme="minorHAnsi" w:hAnsiTheme="minorHAnsi" w:cstheme="minorHAnsi"/>
              </w:rPr>
              <w:t>FOA 3213</w:t>
            </w:r>
          </w:p>
          <w:p w14:paraId="30307612" w14:textId="77777777" w:rsidR="00E34EAA" w:rsidRPr="00D7305C" w:rsidRDefault="00E34EAA" w:rsidP="00E34EAA">
            <w:pPr>
              <w:pStyle w:val="ListParagraph"/>
              <w:numPr>
                <w:ilvl w:val="1"/>
                <w:numId w:val="11"/>
              </w:numPr>
              <w:spacing w:after="0" w:line="240" w:lineRule="auto"/>
              <w:rPr>
                <w:rFonts w:asciiTheme="minorHAnsi" w:hAnsiTheme="minorHAnsi" w:cstheme="minorHAnsi"/>
              </w:rPr>
            </w:pPr>
            <w:r w:rsidRPr="00D7305C">
              <w:rPr>
                <w:rFonts w:asciiTheme="minorHAnsi" w:hAnsiTheme="minorHAnsi" w:cstheme="minorHAnsi"/>
              </w:rPr>
              <w:t>Hyperfuel, Plug Power (lead), UMD, WSU, NREL(PI:Saur)</w:t>
            </w:r>
          </w:p>
          <w:p w14:paraId="717C768A" w14:textId="77777777" w:rsidR="00A2327C" w:rsidRPr="00D7305C" w:rsidRDefault="00E34EAA" w:rsidP="00D7305C">
            <w:pPr>
              <w:pStyle w:val="ListParagraph"/>
              <w:numPr>
                <w:ilvl w:val="1"/>
                <w:numId w:val="11"/>
              </w:numPr>
              <w:spacing w:after="0" w:line="240" w:lineRule="auto"/>
              <w:rPr>
                <w:rFonts w:asciiTheme="minorHAnsi" w:hAnsiTheme="minorHAnsi" w:cstheme="minorHAnsi"/>
              </w:rPr>
            </w:pPr>
            <w:r w:rsidRPr="00D7305C">
              <w:rPr>
                <w:rFonts w:asciiTheme="minorHAnsi" w:hAnsiTheme="minorHAnsi" w:cstheme="minorHAnsi"/>
              </w:rPr>
              <w:t>Next Generation Multi-Use Heavy-Duty High-Flow Direct-Fill H2, First Element lead, First Element (lead), NREL (PI: Taichi Kuroki, Saur support)</w:t>
            </w:r>
          </w:p>
          <w:p w14:paraId="3855CCC7" w14:textId="68B9F664" w:rsidR="00E34EAA" w:rsidRPr="00D7305C" w:rsidRDefault="00E34EAA" w:rsidP="00E34EAA">
            <w:pPr>
              <w:spacing w:after="0" w:line="240" w:lineRule="auto"/>
              <w:rPr>
                <w:rFonts w:asciiTheme="minorHAnsi" w:hAnsiTheme="minorHAnsi" w:cstheme="minorHAnsi"/>
              </w:rPr>
            </w:pPr>
            <w:r w:rsidRPr="00D7305C">
              <w:rPr>
                <w:rFonts w:asciiTheme="minorHAnsi" w:hAnsiTheme="minorHAnsi" w:cstheme="minorHAnsi"/>
              </w:rPr>
              <w:t>Unfunded proposal</w:t>
            </w:r>
          </w:p>
          <w:p w14:paraId="00B0F49E" w14:textId="15D8E85A" w:rsidR="00E34EAA" w:rsidRPr="00D7305C" w:rsidRDefault="00E34EAA" w:rsidP="00E34EAA">
            <w:pPr>
              <w:pStyle w:val="ListParagraph"/>
              <w:numPr>
                <w:ilvl w:val="0"/>
                <w:numId w:val="11"/>
              </w:numPr>
              <w:spacing w:after="160" w:line="278" w:lineRule="auto"/>
              <w:rPr>
                <w:rFonts w:asciiTheme="minorHAnsi" w:hAnsiTheme="minorHAnsi" w:cstheme="minorHAnsi"/>
              </w:rPr>
            </w:pPr>
            <w:r w:rsidRPr="00D7305C">
              <w:rPr>
                <w:rFonts w:asciiTheme="minorHAnsi" w:hAnsiTheme="minorHAnsi" w:cstheme="minorHAnsi"/>
              </w:rPr>
              <w:t>RIDOT - NREL lead: Monterey Gardiner, Saur support</w:t>
            </w:r>
          </w:p>
        </w:tc>
      </w:tr>
      <w:tr w:rsidR="00D01788" w:rsidRPr="00D810AE" w14:paraId="039D2A0B" w14:textId="77777777" w:rsidTr="0C2CFFAB">
        <w:trPr>
          <w:trHeight w:val="827"/>
        </w:trPr>
        <w:tc>
          <w:tcPr>
            <w:tcW w:w="4374" w:type="dxa"/>
            <w:gridSpan w:val="2"/>
            <w:shd w:val="clear" w:color="auto" w:fill="auto"/>
          </w:tcPr>
          <w:p w14:paraId="18629AEE" w14:textId="054825A5" w:rsidR="00D01788" w:rsidRPr="00D810AE" w:rsidRDefault="00E34EAA"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Write joint NREL-TNO paper on current status of offshore wind-hydrogen and what are the next steps for de-risking and demonstrating the technology.</w:t>
            </w:r>
          </w:p>
        </w:tc>
        <w:tc>
          <w:tcPr>
            <w:tcW w:w="6561" w:type="dxa"/>
            <w:gridSpan w:val="3"/>
            <w:shd w:val="clear" w:color="auto" w:fill="auto"/>
          </w:tcPr>
          <w:p w14:paraId="5364FFCC" w14:textId="77777777" w:rsidR="00E34EAA" w:rsidRPr="00D7305C" w:rsidRDefault="00E34EAA" w:rsidP="00E34EAA">
            <w:pPr>
              <w:spacing w:after="0" w:line="240" w:lineRule="auto"/>
              <w:rPr>
                <w:rFonts w:asciiTheme="minorHAnsi" w:hAnsiTheme="minorHAnsi" w:cstheme="minorHAnsi"/>
              </w:rPr>
            </w:pPr>
            <w:r w:rsidRPr="00D7305C">
              <w:rPr>
                <w:rFonts w:asciiTheme="minorHAnsi" w:hAnsiTheme="minorHAnsi" w:cstheme="minorHAnsi"/>
              </w:rPr>
              <w:t>Business Development</w:t>
            </w:r>
          </w:p>
          <w:p w14:paraId="64B6061B" w14:textId="40B877F2" w:rsidR="00E34EAA" w:rsidRPr="00D7305C" w:rsidRDefault="00E34EAA" w:rsidP="00E34EAA">
            <w:pPr>
              <w:numPr>
                <w:ilvl w:val="0"/>
                <w:numId w:val="11"/>
              </w:numPr>
              <w:spacing w:after="0" w:line="240" w:lineRule="auto"/>
              <w:rPr>
                <w:rFonts w:asciiTheme="minorHAnsi" w:hAnsiTheme="minorHAnsi" w:cstheme="minorHAnsi"/>
              </w:rPr>
            </w:pPr>
            <w:r w:rsidRPr="00D7305C">
              <w:rPr>
                <w:rFonts w:asciiTheme="minorHAnsi" w:hAnsiTheme="minorHAnsi" w:cstheme="minorHAnsi"/>
              </w:rPr>
              <w:t>NDAs (</w:t>
            </w:r>
            <w:r w:rsidR="00D7305C">
              <w:rPr>
                <w:rFonts w:asciiTheme="minorHAnsi" w:hAnsiTheme="minorHAnsi" w:cstheme="minorHAnsi"/>
              </w:rPr>
              <w:t>7</w:t>
            </w:r>
            <w:r w:rsidRPr="00D7305C">
              <w:rPr>
                <w:rFonts w:asciiTheme="minorHAnsi" w:hAnsiTheme="minorHAnsi" w:cstheme="minorHAnsi"/>
              </w:rPr>
              <w:t xml:space="preserve"> total)</w:t>
            </w:r>
          </w:p>
          <w:p w14:paraId="36152136" w14:textId="77777777" w:rsidR="00E34EAA" w:rsidRPr="00D7305C" w:rsidRDefault="00E34EAA" w:rsidP="00E34EAA">
            <w:pPr>
              <w:numPr>
                <w:ilvl w:val="1"/>
                <w:numId w:val="11"/>
              </w:numPr>
              <w:spacing w:after="0" w:line="240" w:lineRule="auto"/>
              <w:rPr>
                <w:rFonts w:asciiTheme="minorHAnsi" w:hAnsiTheme="minorHAnsi" w:cstheme="minorHAnsi"/>
              </w:rPr>
            </w:pPr>
            <w:r w:rsidRPr="00D7305C">
              <w:rPr>
                <w:rFonts w:asciiTheme="minorHAnsi" w:hAnsiTheme="minorHAnsi" w:cstheme="minorHAnsi"/>
              </w:rPr>
              <w:t>Four: 3 way NREL-UMD-{Toyota, Everfuel,Plug Power,HTEC}</w:t>
            </w:r>
          </w:p>
          <w:p w14:paraId="63A7E191" w14:textId="6C4559C4" w:rsidR="00E34EAA" w:rsidRPr="00D7305C" w:rsidRDefault="00E34EAA" w:rsidP="00E34EAA">
            <w:pPr>
              <w:numPr>
                <w:ilvl w:val="1"/>
                <w:numId w:val="11"/>
              </w:numPr>
              <w:spacing w:after="0" w:line="240" w:lineRule="auto"/>
              <w:rPr>
                <w:rFonts w:asciiTheme="minorHAnsi" w:hAnsiTheme="minorHAnsi" w:cstheme="minorHAnsi"/>
              </w:rPr>
            </w:pPr>
            <w:r w:rsidRPr="00D7305C">
              <w:rPr>
                <w:rFonts w:asciiTheme="minorHAnsi" w:hAnsiTheme="minorHAnsi" w:cstheme="minorHAnsi"/>
              </w:rPr>
              <w:t>Two: 2 way NREL-{Swagelock, Parker,UMD}</w:t>
            </w:r>
          </w:p>
          <w:p w14:paraId="3A85666C" w14:textId="520FC4E5" w:rsidR="00E34EAA" w:rsidRPr="00D7305C" w:rsidRDefault="00D7305C" w:rsidP="00E34EAA">
            <w:pPr>
              <w:numPr>
                <w:ilvl w:val="0"/>
                <w:numId w:val="11"/>
              </w:numPr>
              <w:spacing w:after="0" w:line="240" w:lineRule="auto"/>
              <w:rPr>
                <w:rFonts w:asciiTheme="minorHAnsi" w:hAnsiTheme="minorHAnsi" w:cstheme="minorHAnsi"/>
              </w:rPr>
            </w:pPr>
            <w:r>
              <w:rPr>
                <w:rFonts w:asciiTheme="minorHAnsi" w:hAnsiTheme="minorHAnsi" w:cstheme="minorHAnsi"/>
              </w:rPr>
              <w:t xml:space="preserve">Other </w:t>
            </w:r>
            <w:r w:rsidR="00E34EAA" w:rsidRPr="00D7305C">
              <w:rPr>
                <w:rFonts w:asciiTheme="minorHAnsi" w:hAnsiTheme="minorHAnsi" w:cstheme="minorHAnsi"/>
              </w:rPr>
              <w:t>BD development (Likely only)</w:t>
            </w:r>
          </w:p>
          <w:p w14:paraId="2AB7028B" w14:textId="692D2606" w:rsidR="00E34EAA" w:rsidRPr="00D7305C" w:rsidRDefault="00E34EAA" w:rsidP="00E34EAA">
            <w:pPr>
              <w:numPr>
                <w:ilvl w:val="1"/>
                <w:numId w:val="11"/>
              </w:numPr>
              <w:spacing w:after="0" w:line="240" w:lineRule="auto"/>
              <w:rPr>
                <w:rFonts w:asciiTheme="minorHAnsi" w:hAnsiTheme="minorHAnsi" w:cstheme="minorHAnsi"/>
              </w:rPr>
            </w:pPr>
            <w:r w:rsidRPr="00D7305C">
              <w:rPr>
                <w:rFonts w:asciiTheme="minorHAnsi" w:hAnsiTheme="minorHAnsi" w:cstheme="minorHAnsi"/>
              </w:rPr>
              <w:t>Parker (NDA signed)</w:t>
            </w:r>
          </w:p>
          <w:p w14:paraId="49E96902" w14:textId="77777777" w:rsidR="00E34EAA" w:rsidRPr="00D7305C" w:rsidRDefault="00E34EAA" w:rsidP="00E34EAA">
            <w:pPr>
              <w:numPr>
                <w:ilvl w:val="1"/>
                <w:numId w:val="11"/>
              </w:numPr>
              <w:spacing w:after="0" w:line="240" w:lineRule="auto"/>
              <w:rPr>
                <w:rFonts w:asciiTheme="minorHAnsi" w:hAnsiTheme="minorHAnsi" w:cstheme="minorHAnsi"/>
              </w:rPr>
            </w:pPr>
            <w:r w:rsidRPr="00D7305C">
              <w:rPr>
                <w:rFonts w:asciiTheme="minorHAnsi" w:hAnsiTheme="minorHAnsi" w:cstheme="minorHAnsi"/>
              </w:rPr>
              <w:t>Emerson</w:t>
            </w:r>
          </w:p>
          <w:p w14:paraId="1A6E5BC1" w14:textId="77777777" w:rsidR="00E34EAA" w:rsidRPr="00D7305C" w:rsidRDefault="00E34EAA" w:rsidP="00E34EAA">
            <w:pPr>
              <w:numPr>
                <w:ilvl w:val="0"/>
                <w:numId w:val="11"/>
              </w:numPr>
              <w:spacing w:after="0" w:line="240" w:lineRule="auto"/>
              <w:rPr>
                <w:rFonts w:asciiTheme="minorHAnsi" w:hAnsiTheme="minorHAnsi" w:cstheme="minorHAnsi"/>
              </w:rPr>
            </w:pPr>
            <w:r w:rsidRPr="00D7305C">
              <w:rPr>
                <w:rFonts w:asciiTheme="minorHAnsi" w:hAnsiTheme="minorHAnsi" w:cstheme="minorHAnsi"/>
              </w:rPr>
              <w:t>MOU support- not all executed (yet)</w:t>
            </w:r>
          </w:p>
          <w:p w14:paraId="19DE6388" w14:textId="16C2AF6B" w:rsidR="00D01788" w:rsidRPr="00D7305C" w:rsidRDefault="00E34EAA" w:rsidP="00E34EAA">
            <w:pPr>
              <w:numPr>
                <w:ilvl w:val="1"/>
                <w:numId w:val="11"/>
              </w:numPr>
              <w:spacing w:after="0" w:line="240" w:lineRule="auto"/>
              <w:rPr>
                <w:rFonts w:asciiTheme="minorHAnsi" w:hAnsiTheme="minorHAnsi" w:cstheme="minorHAnsi"/>
              </w:rPr>
            </w:pPr>
            <w:r w:rsidRPr="00D7305C">
              <w:rPr>
                <w:rFonts w:asciiTheme="minorHAnsi" w:hAnsiTheme="minorHAnsi" w:cstheme="minorHAnsi"/>
              </w:rPr>
              <w:t>KIER, AIST, Kyushu/NEDO, CSIRO</w:t>
            </w:r>
          </w:p>
        </w:tc>
      </w:tr>
      <w:tr w:rsidR="00D01788" w:rsidRPr="00D810AE" w14:paraId="6C492096" w14:textId="77777777" w:rsidTr="0C2CFFAB">
        <w:trPr>
          <w:trHeight w:val="827"/>
        </w:trPr>
        <w:tc>
          <w:tcPr>
            <w:tcW w:w="4374" w:type="dxa"/>
            <w:gridSpan w:val="2"/>
            <w:shd w:val="clear" w:color="auto" w:fill="auto"/>
          </w:tcPr>
          <w:p w14:paraId="3F62AAB8" w14:textId="523A2C90" w:rsidR="00D01788" w:rsidRPr="00D810AE" w:rsidRDefault="00E34EAA"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Provide project leadership on development of a machine learning model for electrolyzer degradation that can be used for evaluating large-scale electrolysis deployments.</w:t>
            </w:r>
          </w:p>
        </w:tc>
        <w:tc>
          <w:tcPr>
            <w:tcW w:w="6561" w:type="dxa"/>
            <w:gridSpan w:val="3"/>
            <w:shd w:val="clear" w:color="auto" w:fill="auto"/>
          </w:tcPr>
          <w:p w14:paraId="7D0B9549" w14:textId="77777777" w:rsidR="00E34EAA" w:rsidRPr="00D7305C" w:rsidRDefault="00E34EAA" w:rsidP="00D7305C">
            <w:pPr>
              <w:spacing w:after="0" w:line="240" w:lineRule="auto"/>
              <w:rPr>
                <w:rFonts w:asciiTheme="minorHAnsi" w:hAnsiTheme="minorHAnsi" w:cstheme="minorHAnsi"/>
              </w:rPr>
            </w:pPr>
            <w:r w:rsidRPr="00D7305C">
              <w:rPr>
                <w:rFonts w:asciiTheme="minorHAnsi" w:hAnsiTheme="minorHAnsi" w:cstheme="minorHAnsi"/>
              </w:rPr>
              <w:t>Committee Participation</w:t>
            </w:r>
          </w:p>
          <w:p w14:paraId="406B1FCF" w14:textId="77777777" w:rsidR="00E34EAA" w:rsidRPr="00D7305C" w:rsidRDefault="00E34EAA" w:rsidP="00D7305C">
            <w:pPr>
              <w:pStyle w:val="ListParagraph"/>
              <w:numPr>
                <w:ilvl w:val="0"/>
                <w:numId w:val="11"/>
              </w:numPr>
              <w:spacing w:after="0" w:line="240" w:lineRule="auto"/>
              <w:rPr>
                <w:rFonts w:asciiTheme="minorHAnsi" w:hAnsiTheme="minorHAnsi" w:cstheme="minorHAnsi"/>
              </w:rPr>
            </w:pPr>
            <w:r w:rsidRPr="00D7305C">
              <w:rPr>
                <w:rFonts w:asciiTheme="minorHAnsi" w:hAnsiTheme="minorHAnsi" w:cstheme="minorHAnsi"/>
              </w:rPr>
              <w:t>Attended by invitation. HFTO Workshop: Hydrogen Infrastructure Strategies to Enable Deployment in High-Impact Sectors, January 17 – 18, 2024</w:t>
            </w:r>
          </w:p>
          <w:p w14:paraId="68B01FA3" w14:textId="77777777" w:rsidR="00E34EAA" w:rsidRPr="00D7305C" w:rsidRDefault="00E34EAA" w:rsidP="00D7305C">
            <w:pPr>
              <w:pStyle w:val="ListParagraph"/>
              <w:numPr>
                <w:ilvl w:val="0"/>
                <w:numId w:val="11"/>
              </w:numPr>
              <w:spacing w:after="0" w:line="240" w:lineRule="auto"/>
              <w:rPr>
                <w:rFonts w:asciiTheme="minorHAnsi" w:hAnsiTheme="minorHAnsi" w:cstheme="minorHAnsi"/>
              </w:rPr>
            </w:pPr>
            <w:r w:rsidRPr="00D7305C">
              <w:rPr>
                <w:rFonts w:asciiTheme="minorHAnsi" w:hAnsiTheme="minorHAnsi" w:cstheme="minorHAnsi"/>
              </w:rPr>
              <w:t>Breakout moderator: Medium- and Heavy-Duty Vehicle Decarbonization Action Plan Stakeholder Workshop, February 13, 2024</w:t>
            </w:r>
          </w:p>
          <w:p w14:paraId="47BAAF71" w14:textId="77777777" w:rsidR="00E34EAA" w:rsidRPr="00D7305C" w:rsidRDefault="00E34EAA" w:rsidP="00D7305C">
            <w:pPr>
              <w:pStyle w:val="ListParagraph"/>
              <w:numPr>
                <w:ilvl w:val="0"/>
                <w:numId w:val="11"/>
              </w:numPr>
              <w:spacing w:after="0" w:line="240" w:lineRule="auto"/>
              <w:rPr>
                <w:rFonts w:asciiTheme="minorHAnsi" w:hAnsiTheme="minorHAnsi" w:cstheme="minorHAnsi"/>
              </w:rPr>
            </w:pPr>
            <w:r w:rsidRPr="00D7305C">
              <w:rPr>
                <w:rFonts w:asciiTheme="minorHAnsi" w:hAnsiTheme="minorHAnsi" w:cstheme="minorHAnsi"/>
              </w:rPr>
              <w:t>Workshop attendance by invitation: Hydrogen Infrastructure Priorities to Enable Deployment in High-Impact Sectors, February 27-28, 2024.</w:t>
            </w:r>
          </w:p>
          <w:p w14:paraId="473C3850" w14:textId="0B8B7B0E" w:rsidR="00D01788" w:rsidRPr="00D7305C" w:rsidRDefault="00E34EAA" w:rsidP="00D7305C">
            <w:pPr>
              <w:pStyle w:val="ListParagraph"/>
              <w:numPr>
                <w:ilvl w:val="0"/>
                <w:numId w:val="11"/>
              </w:numPr>
              <w:spacing w:after="0" w:line="240" w:lineRule="auto"/>
              <w:rPr>
                <w:rFonts w:asciiTheme="minorHAnsi" w:hAnsiTheme="minorHAnsi" w:cstheme="minorHAnsi"/>
              </w:rPr>
            </w:pPr>
            <w:r w:rsidRPr="00D7305C">
              <w:rPr>
                <w:rFonts w:asciiTheme="minorHAnsi" w:hAnsiTheme="minorHAnsi" w:cstheme="minorHAnsi"/>
              </w:rPr>
              <w:t xml:space="preserve">Track chair for ASME HYRRAC 2025 conference, now cancelled. </w:t>
            </w:r>
          </w:p>
        </w:tc>
      </w:tr>
      <w:tr w:rsidR="00D01788" w:rsidRPr="00D810AE" w14:paraId="26B7A742" w14:textId="77777777" w:rsidTr="0C2CFFAB">
        <w:trPr>
          <w:trHeight w:val="827"/>
        </w:trPr>
        <w:tc>
          <w:tcPr>
            <w:tcW w:w="4374" w:type="dxa"/>
            <w:gridSpan w:val="2"/>
            <w:shd w:val="clear" w:color="auto" w:fill="auto"/>
          </w:tcPr>
          <w:p w14:paraId="4C741E4A" w14:textId="04E42E77" w:rsidR="00D01788" w:rsidRPr="00D810AE" w:rsidRDefault="00E34EAA"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Have lunch with other NREL people at least bi-weekly to foster informal collaboration and combat isolation.</w:t>
            </w:r>
          </w:p>
        </w:tc>
        <w:tc>
          <w:tcPr>
            <w:tcW w:w="6561" w:type="dxa"/>
            <w:gridSpan w:val="3"/>
            <w:shd w:val="clear" w:color="auto" w:fill="auto"/>
          </w:tcPr>
          <w:p w14:paraId="4C9A9734" w14:textId="6428DCC2" w:rsidR="00D7305C" w:rsidRPr="00D7305C" w:rsidRDefault="00D7305C" w:rsidP="00D7305C">
            <w:pPr>
              <w:spacing w:after="0" w:line="240" w:lineRule="auto"/>
              <w:rPr>
                <w:rFonts w:asciiTheme="minorHAnsi" w:hAnsiTheme="minorHAnsi" w:cstheme="minorHAnsi"/>
              </w:rPr>
            </w:pPr>
            <w:r w:rsidRPr="00D7305C">
              <w:rPr>
                <w:rFonts w:asciiTheme="minorHAnsi" w:hAnsiTheme="minorHAnsi" w:cstheme="minorHAnsi"/>
              </w:rPr>
              <w:t>Mentorship</w:t>
            </w:r>
            <w:r>
              <w:rPr>
                <w:rFonts w:asciiTheme="minorHAnsi" w:hAnsiTheme="minorHAnsi" w:cstheme="minorHAnsi"/>
              </w:rPr>
              <w:t xml:space="preserve"> Accomplishments</w:t>
            </w:r>
          </w:p>
          <w:p w14:paraId="61A7716B" w14:textId="77777777" w:rsidR="00D7305C" w:rsidRPr="00D7305C" w:rsidRDefault="00D7305C" w:rsidP="00D7305C">
            <w:pPr>
              <w:pStyle w:val="ListParagraph"/>
              <w:numPr>
                <w:ilvl w:val="0"/>
                <w:numId w:val="11"/>
              </w:numPr>
              <w:spacing w:after="0" w:line="240" w:lineRule="auto"/>
              <w:rPr>
                <w:rFonts w:asciiTheme="minorHAnsi" w:hAnsiTheme="minorHAnsi" w:cstheme="minorHAnsi"/>
                <w:bCs/>
                <w:color w:val="171717"/>
              </w:rPr>
            </w:pPr>
            <w:r w:rsidRPr="00D7305C">
              <w:rPr>
                <w:rFonts w:asciiTheme="minorHAnsi" w:hAnsiTheme="minorHAnsi" w:cstheme="minorHAnsi"/>
                <w:bCs/>
                <w:color w:val="171717"/>
              </w:rPr>
              <w:t xml:space="preserve">Supported Johns Hopkins Medicine Initiative serving at-risk scholars as part of their speaker series A Day in the Life of a Specialist with a presentation </w:t>
            </w:r>
            <w:r w:rsidRPr="00D7305C">
              <w:rPr>
                <w:rFonts w:asciiTheme="minorHAnsi" w:hAnsiTheme="minorHAnsi" w:cstheme="minorHAnsi"/>
                <w:bCs/>
                <w:i/>
                <w:iCs/>
                <w:color w:val="171717"/>
              </w:rPr>
              <w:t>Talk with a Hydrogen Engineer</w:t>
            </w:r>
            <w:r w:rsidRPr="00D7305C">
              <w:rPr>
                <w:rFonts w:asciiTheme="minorHAnsi" w:hAnsiTheme="minorHAnsi" w:cstheme="minorHAnsi"/>
                <w:bCs/>
                <w:color w:val="171717"/>
              </w:rPr>
              <w:t xml:space="preserve">. The initiative has five programs for different education levels, </w:t>
            </w:r>
            <w:r w:rsidRPr="00D7305C">
              <w:rPr>
                <w:rFonts w:asciiTheme="minorHAnsi" w:hAnsiTheme="minorHAnsi" w:cstheme="minorHAnsi"/>
                <w:bCs/>
                <w:color w:val="171717"/>
              </w:rPr>
              <w:lastRenderedPageBreak/>
              <w:t>5</w:t>
            </w:r>
            <w:r w:rsidRPr="00D7305C">
              <w:rPr>
                <w:rFonts w:asciiTheme="minorHAnsi" w:hAnsiTheme="minorHAnsi" w:cstheme="minorHAnsi"/>
                <w:bCs/>
                <w:color w:val="171717"/>
                <w:vertAlign w:val="superscript"/>
              </w:rPr>
              <w:t>th</w:t>
            </w:r>
            <w:r w:rsidRPr="00D7305C">
              <w:rPr>
                <w:rFonts w:asciiTheme="minorHAnsi" w:hAnsiTheme="minorHAnsi" w:cstheme="minorHAnsi"/>
                <w:bCs/>
                <w:color w:val="171717"/>
              </w:rPr>
              <w:t xml:space="preserve"> grade to post-bacclaureate and has served 635 scholars in the Baltimore area to date.</w:t>
            </w:r>
          </w:p>
          <w:p w14:paraId="6FB6F34E" w14:textId="77777777" w:rsidR="00D7305C" w:rsidRPr="00D7305C" w:rsidRDefault="00D7305C" w:rsidP="00D7305C">
            <w:pPr>
              <w:numPr>
                <w:ilvl w:val="0"/>
                <w:numId w:val="11"/>
              </w:numPr>
              <w:spacing w:after="0" w:line="240" w:lineRule="auto"/>
              <w:rPr>
                <w:rFonts w:asciiTheme="minorHAnsi" w:hAnsiTheme="minorHAnsi" w:cstheme="minorHAnsi"/>
              </w:rPr>
            </w:pPr>
            <w:r w:rsidRPr="00D7305C">
              <w:rPr>
                <w:rFonts w:asciiTheme="minorHAnsi" w:hAnsiTheme="minorHAnsi" w:cstheme="minorHAnsi"/>
              </w:rPr>
              <w:t>Provided mentorship for graduate fellow, Sami Wismer, from University of Maryland</w:t>
            </w:r>
          </w:p>
          <w:p w14:paraId="0F089E00" w14:textId="762F704B" w:rsidR="00D7305C" w:rsidRPr="00D7305C" w:rsidRDefault="00D7305C" w:rsidP="00D7305C">
            <w:pPr>
              <w:numPr>
                <w:ilvl w:val="0"/>
                <w:numId w:val="11"/>
              </w:numPr>
              <w:spacing w:after="0" w:line="240" w:lineRule="auto"/>
              <w:rPr>
                <w:rFonts w:asciiTheme="minorHAnsi" w:hAnsiTheme="minorHAnsi" w:cstheme="minorHAnsi"/>
              </w:rPr>
            </w:pPr>
            <w:r w:rsidRPr="00D7305C">
              <w:rPr>
                <w:rFonts w:asciiTheme="minorHAnsi" w:hAnsiTheme="minorHAnsi" w:cstheme="minorHAnsi"/>
              </w:rPr>
              <w:t>Providing mentorship (co-host) for graduate fellow, Guilia Collina, from NTNU</w:t>
            </w:r>
          </w:p>
          <w:p w14:paraId="1DBAEA35" w14:textId="58A21401" w:rsidR="00D01788" w:rsidRPr="00D7305C" w:rsidRDefault="00D7305C" w:rsidP="00D7305C">
            <w:pPr>
              <w:pStyle w:val="ListParagraph"/>
              <w:numPr>
                <w:ilvl w:val="0"/>
                <w:numId w:val="11"/>
              </w:numPr>
              <w:spacing w:after="0" w:line="240" w:lineRule="auto"/>
              <w:rPr>
                <w:rFonts w:asciiTheme="minorHAnsi" w:hAnsiTheme="minorHAnsi" w:cstheme="minorHAnsi"/>
              </w:rPr>
            </w:pPr>
            <w:r w:rsidRPr="00D7305C">
              <w:rPr>
                <w:rFonts w:asciiTheme="minorHAnsi" w:eastAsia="Calibri" w:hAnsiTheme="minorHAnsi" w:cstheme="minorHAnsi"/>
                <w:color w:val="000000" w:themeColor="text1"/>
              </w:rPr>
              <w:t>Provided assistance to a NREL FACES program applicant. Not awarded.</w:t>
            </w:r>
          </w:p>
        </w:tc>
      </w:tr>
      <w:tr w:rsidR="00A2327C" w:rsidRPr="00D810AE" w14:paraId="593CC6AC" w14:textId="77777777" w:rsidTr="0C2CFFAB">
        <w:trPr>
          <w:trHeight w:val="827"/>
        </w:trPr>
        <w:tc>
          <w:tcPr>
            <w:tcW w:w="4374" w:type="dxa"/>
            <w:gridSpan w:val="2"/>
            <w:shd w:val="clear" w:color="auto" w:fill="auto"/>
          </w:tcPr>
          <w:p w14:paraId="6E9844B3" w14:textId="77777777" w:rsidR="00A2327C" w:rsidRPr="00D810AE" w:rsidRDefault="00A2327C" w:rsidP="001722C1">
            <w:pPr>
              <w:pStyle w:val="ListParagraph"/>
              <w:numPr>
                <w:ilvl w:val="0"/>
                <w:numId w:val="11"/>
              </w:numPr>
              <w:spacing w:before="60" w:after="0" w:line="240" w:lineRule="auto"/>
              <w:ind w:left="360"/>
              <w:rPr>
                <w:rFonts w:ascii="Arial" w:hAnsi="Arial" w:cs="Arial"/>
                <w:sz w:val="20"/>
                <w:szCs w:val="20"/>
              </w:rPr>
            </w:pPr>
          </w:p>
        </w:tc>
        <w:tc>
          <w:tcPr>
            <w:tcW w:w="6561" w:type="dxa"/>
            <w:gridSpan w:val="3"/>
            <w:shd w:val="clear" w:color="auto" w:fill="auto"/>
          </w:tcPr>
          <w:p w14:paraId="7CE536B6" w14:textId="1B7355C5" w:rsidR="00D7305C" w:rsidRDefault="00D7305C" w:rsidP="00D7305C">
            <w:pPr>
              <w:spacing w:after="0" w:line="240" w:lineRule="auto"/>
              <w:rPr>
                <w:rFonts w:asciiTheme="minorHAnsi" w:hAnsiTheme="minorHAnsi" w:cstheme="minorHAnsi"/>
              </w:rPr>
            </w:pPr>
            <w:r>
              <w:rPr>
                <w:rFonts w:asciiTheme="minorHAnsi" w:hAnsiTheme="minorHAnsi" w:cstheme="minorHAnsi"/>
              </w:rPr>
              <w:t>Technical/research Accomplishments</w:t>
            </w:r>
          </w:p>
          <w:p w14:paraId="48C1445F" w14:textId="16B3703B" w:rsidR="00D7305C" w:rsidRPr="00D7305C" w:rsidRDefault="00D7305C" w:rsidP="00D7305C">
            <w:pPr>
              <w:numPr>
                <w:ilvl w:val="0"/>
                <w:numId w:val="11"/>
              </w:numPr>
              <w:spacing w:after="0" w:line="240" w:lineRule="auto"/>
              <w:rPr>
                <w:rFonts w:asciiTheme="minorHAnsi" w:hAnsiTheme="minorHAnsi" w:cstheme="minorHAnsi"/>
              </w:rPr>
            </w:pPr>
            <w:r w:rsidRPr="00D7305C">
              <w:rPr>
                <w:rFonts w:asciiTheme="minorHAnsi" w:hAnsiTheme="minorHAnsi" w:cstheme="minorHAnsi"/>
              </w:rPr>
              <w:t>Hydrogen Component Reliability Database beginning to have data that is being used as feedback to component manufacturers and station operators. Deeper dive on valves and fitting providing insights into issues to be addressed.</w:t>
            </w:r>
          </w:p>
          <w:p w14:paraId="722CF6AC" w14:textId="77777777" w:rsidR="00D7305C" w:rsidRPr="00D7305C" w:rsidRDefault="00D7305C" w:rsidP="00D7305C">
            <w:pPr>
              <w:numPr>
                <w:ilvl w:val="0"/>
                <w:numId w:val="11"/>
              </w:numPr>
              <w:spacing w:after="0" w:line="240" w:lineRule="auto"/>
              <w:rPr>
                <w:rFonts w:asciiTheme="minorHAnsi" w:hAnsiTheme="minorHAnsi" w:cstheme="minorHAnsi"/>
              </w:rPr>
            </w:pPr>
            <w:r w:rsidRPr="00D7305C">
              <w:rPr>
                <w:rFonts w:asciiTheme="minorHAnsi" w:hAnsiTheme="minorHAnsi" w:cstheme="minorHAnsi"/>
              </w:rPr>
              <w:t>Implemented and collected high-frequency data (80-ms) of dynamic PEM electrolyzer operation to 1) expand NREL testing capabilities and 2) provide new insight into tightly coupled integrated systems.</w:t>
            </w:r>
          </w:p>
          <w:p w14:paraId="69BFC072" w14:textId="425B7539" w:rsidR="00A2327C" w:rsidRPr="00514562" w:rsidRDefault="00D7305C" w:rsidP="00D7305C">
            <w:pPr>
              <w:numPr>
                <w:ilvl w:val="0"/>
                <w:numId w:val="11"/>
              </w:numPr>
              <w:spacing w:after="0" w:line="240" w:lineRule="auto"/>
              <w:rPr>
                <w:rFonts w:asciiTheme="minorHAnsi" w:hAnsiTheme="minorHAnsi" w:cstheme="minorHAnsi"/>
              </w:rPr>
            </w:pPr>
            <w:r w:rsidRPr="00D7305C">
              <w:rPr>
                <w:rFonts w:asciiTheme="minorHAnsi" w:hAnsiTheme="minorHAnsi" w:cstheme="minorHAnsi"/>
              </w:rPr>
              <w:t xml:space="preserve">Co-initiated an Interagency Climate Ambition Program Support (I-CAPS) Project with </w:t>
            </w:r>
            <w:r w:rsidRPr="00D7305C">
              <w:rPr>
                <w:rFonts w:asciiTheme="minorHAnsi" w:eastAsia="Calibri" w:hAnsiTheme="minorHAnsi" w:cstheme="minorHAnsi"/>
                <w:color w:val="000000" w:themeColor="text1"/>
              </w:rPr>
              <w:t>Brazil’s Ministry of Mines and Energy (EPE) to support integrating their 3-year hydrogen plan into their long term energy planning.</w:t>
            </w:r>
            <w:r w:rsidR="00514562">
              <w:rPr>
                <w:rFonts w:asciiTheme="minorHAnsi" w:eastAsia="Calibri" w:hAnsiTheme="minorHAnsi" w:cstheme="minorHAnsi"/>
                <w:color w:val="000000" w:themeColor="text1"/>
              </w:rPr>
              <w:t xml:space="preserve"> The result of the first part year of the project was to provide briefing materials for Secretary Granholm and the US delegation for bi-lateral talks with Brazil at Foz du Iguazu for </w:t>
            </w:r>
            <w:r w:rsidR="00514562" w:rsidRPr="00514562">
              <w:rPr>
                <w:rFonts w:asciiTheme="minorHAnsi" w:eastAsia="Calibri" w:hAnsiTheme="minorHAnsi" w:cstheme="minorHAnsi"/>
                <w:color w:val="000000" w:themeColor="text1"/>
              </w:rPr>
              <w:t>U.S.-Brazil Energy Forum (USBEF)</w:t>
            </w:r>
            <w:r w:rsidR="00514562">
              <w:rPr>
                <w:rFonts w:asciiTheme="minorHAnsi" w:eastAsia="Calibri" w:hAnsiTheme="minorHAnsi" w:cstheme="minorHAnsi"/>
                <w:color w:val="000000" w:themeColor="text1"/>
              </w:rPr>
              <w:t xml:space="preserve"> ahead of Clean Energy Ministerial Meetings in Brazil</w:t>
            </w:r>
            <w:r w:rsidR="00C25367">
              <w:rPr>
                <w:rFonts w:asciiTheme="minorHAnsi" w:eastAsia="Calibri" w:hAnsiTheme="minorHAnsi" w:cstheme="minorHAnsi"/>
                <w:color w:val="000000" w:themeColor="text1"/>
              </w:rPr>
              <w:t xml:space="preserve"> Sept 30-Oct 2, 2024</w:t>
            </w:r>
            <w:r w:rsidR="00514562">
              <w:rPr>
                <w:rFonts w:asciiTheme="minorHAnsi" w:eastAsia="Calibri" w:hAnsiTheme="minorHAnsi" w:cstheme="minorHAnsi"/>
                <w:color w:val="000000" w:themeColor="text1"/>
              </w:rPr>
              <w:t>.</w:t>
            </w:r>
          </w:p>
          <w:p w14:paraId="629069EE" w14:textId="30DFA0D4" w:rsidR="00514562" w:rsidRPr="00D7305C" w:rsidRDefault="00514562" w:rsidP="00514562">
            <w:pPr>
              <w:numPr>
                <w:ilvl w:val="1"/>
                <w:numId w:val="11"/>
              </w:numPr>
              <w:spacing w:after="0" w:line="240" w:lineRule="auto"/>
              <w:rPr>
                <w:rFonts w:asciiTheme="minorHAnsi" w:hAnsiTheme="minorHAnsi" w:cstheme="minorHAnsi"/>
              </w:rPr>
            </w:pPr>
            <w:r w:rsidRPr="00514562">
              <w:rPr>
                <w:rFonts w:asciiTheme="minorHAnsi" w:hAnsiTheme="minorHAnsi" w:cstheme="minorHAnsi"/>
              </w:rPr>
              <w:t>https://www.energy.gov/articles/united-states-and-brazil-expand-clean-energy-cooperation</w:t>
            </w:r>
          </w:p>
        </w:tc>
      </w:tr>
      <w:tr w:rsidR="00A2327C" w:rsidRPr="00D810AE" w14:paraId="11624A36" w14:textId="77777777" w:rsidTr="0C2CFFAB">
        <w:trPr>
          <w:trHeight w:val="576"/>
        </w:trPr>
        <w:tc>
          <w:tcPr>
            <w:tcW w:w="10935" w:type="dxa"/>
            <w:gridSpan w:val="5"/>
            <w:shd w:val="clear" w:color="auto" w:fill="auto"/>
          </w:tcPr>
          <w:p w14:paraId="0B9E8DF4" w14:textId="12C18DCA" w:rsidR="00A2327C" w:rsidRPr="00D810AE" w:rsidRDefault="00A2327C" w:rsidP="001722C1">
            <w:pPr>
              <w:spacing w:before="60" w:after="0" w:line="240" w:lineRule="auto"/>
              <w:rPr>
                <w:rFonts w:ascii="Arial" w:hAnsi="Arial" w:cs="Arial"/>
                <w:i/>
                <w:sz w:val="20"/>
                <w:szCs w:val="20"/>
              </w:rPr>
            </w:pPr>
            <w:r w:rsidRPr="00D810AE">
              <w:rPr>
                <w:rFonts w:ascii="Arial" w:hAnsi="Arial" w:cs="Arial"/>
                <w:i/>
                <w:sz w:val="20"/>
                <w:szCs w:val="20"/>
              </w:rPr>
              <w:t xml:space="preserve">Other </w:t>
            </w:r>
            <w:r w:rsidR="00A62C44">
              <w:rPr>
                <w:rFonts w:ascii="Arial" w:hAnsi="Arial" w:cs="Arial"/>
                <w:i/>
                <w:sz w:val="20"/>
                <w:szCs w:val="20"/>
              </w:rPr>
              <w:t>m</w:t>
            </w:r>
            <w:r w:rsidRPr="00D810AE">
              <w:rPr>
                <w:rFonts w:ascii="Arial" w:hAnsi="Arial" w:cs="Arial"/>
                <w:i/>
                <w:sz w:val="20"/>
                <w:szCs w:val="20"/>
              </w:rPr>
              <w:t xml:space="preserve">ajor </w:t>
            </w:r>
            <w:r w:rsidR="00A62C44">
              <w:rPr>
                <w:rFonts w:ascii="Arial" w:hAnsi="Arial" w:cs="Arial"/>
                <w:i/>
                <w:sz w:val="20"/>
                <w:szCs w:val="20"/>
              </w:rPr>
              <w:t>a</w:t>
            </w:r>
            <w:r w:rsidRPr="00D810AE">
              <w:rPr>
                <w:rFonts w:ascii="Arial" w:hAnsi="Arial" w:cs="Arial"/>
                <w:i/>
                <w:sz w:val="20"/>
                <w:szCs w:val="20"/>
              </w:rPr>
              <w:t>ccomplishments:</w:t>
            </w:r>
          </w:p>
          <w:p w14:paraId="0C3F875C" w14:textId="77777777" w:rsidR="00D7305C" w:rsidRDefault="00D7305C" w:rsidP="00D7305C">
            <w:pPr>
              <w:spacing w:after="0" w:line="240" w:lineRule="auto"/>
            </w:pPr>
            <w:r w:rsidRPr="000A0F71">
              <w:t>Publications (include submitted as well):</w:t>
            </w:r>
          </w:p>
          <w:p w14:paraId="7C388798" w14:textId="77777777" w:rsidR="00D7305C" w:rsidRDefault="00D7305C" w:rsidP="00D7305C">
            <w:pPr>
              <w:pStyle w:val="ListParagraph"/>
              <w:numPr>
                <w:ilvl w:val="0"/>
                <w:numId w:val="13"/>
              </w:numPr>
              <w:spacing w:after="0" w:line="240" w:lineRule="auto"/>
              <w:rPr>
                <w:rFonts w:ascii="Times New Roman" w:hAnsi="Times New Roman"/>
              </w:rPr>
            </w:pPr>
            <w:r w:rsidRPr="00360E7E">
              <w:rPr>
                <w:rFonts w:ascii="Times New Roman" w:hAnsi="Times New Roman"/>
              </w:rPr>
              <w:t xml:space="preserve">Groth, K., Al-Douri, A., West, M., Hartmann, K., Saur, G., &amp; Buttner, W. (2024). Design and Requirements of a Hydrogen Component Reliability Database (HyCReD). </w:t>
            </w:r>
            <w:r w:rsidRPr="00360E7E">
              <w:rPr>
                <w:rFonts w:ascii="Times New Roman" w:hAnsi="Times New Roman"/>
                <w:i/>
                <w:iCs/>
              </w:rPr>
              <w:t>International Journal of Hydrogen Energy</w:t>
            </w:r>
            <w:r w:rsidRPr="00360E7E">
              <w:rPr>
                <w:rFonts w:ascii="Times New Roman" w:hAnsi="Times New Roman"/>
              </w:rPr>
              <w:t xml:space="preserve">, </w:t>
            </w:r>
            <w:r w:rsidRPr="00360E7E">
              <w:rPr>
                <w:rFonts w:ascii="Times New Roman" w:hAnsi="Times New Roman"/>
                <w:i/>
                <w:iCs/>
              </w:rPr>
              <w:t>51</w:t>
            </w:r>
            <w:r w:rsidRPr="00360E7E">
              <w:rPr>
                <w:rFonts w:ascii="Times New Roman" w:hAnsi="Times New Roman"/>
              </w:rPr>
              <w:t xml:space="preserve">(Part D), 1023-1037. </w:t>
            </w:r>
            <w:hyperlink r:id="rId11" w:history="1">
              <w:r w:rsidRPr="000C6AC4">
                <w:rPr>
                  <w:rStyle w:val="Hyperlink"/>
                  <w:rFonts w:ascii="Times New Roman" w:hAnsi="Times New Roman"/>
                </w:rPr>
                <w:t>https://doi.org/10.1016/j.ijhydene.2023.07.165</w:t>
              </w:r>
            </w:hyperlink>
          </w:p>
          <w:p w14:paraId="1FB6D4BF" w14:textId="77777777" w:rsidR="00D7305C" w:rsidRDefault="00D7305C" w:rsidP="00D7305C">
            <w:pPr>
              <w:pStyle w:val="ListParagraph"/>
              <w:numPr>
                <w:ilvl w:val="0"/>
                <w:numId w:val="13"/>
              </w:numPr>
              <w:spacing w:after="0" w:line="240" w:lineRule="auto"/>
              <w:rPr>
                <w:rFonts w:ascii="Times New Roman" w:hAnsi="Times New Roman"/>
              </w:rPr>
            </w:pPr>
            <w:r>
              <w:rPr>
                <w:rFonts w:ascii="Times New Roman" w:hAnsi="Times New Roman"/>
              </w:rPr>
              <w:t xml:space="preserve">Gardiner, M. Saur, G., Hurst, K., Buttner, W. Peaslee, D., Onorato, S. </w:t>
            </w:r>
            <w:r w:rsidRPr="00BA70C1">
              <w:rPr>
                <w:rFonts w:ascii="Times New Roman" w:hAnsi="Times New Roman"/>
              </w:rPr>
              <w:t>Infrastructure, Safety, Fueling Station, HD Trucking</w:t>
            </w:r>
            <w:r>
              <w:rPr>
                <w:rFonts w:ascii="Times New Roman" w:hAnsi="Times New Roman"/>
              </w:rPr>
              <w:t xml:space="preserve">. </w:t>
            </w:r>
            <w:r w:rsidRPr="00BA70C1">
              <w:rPr>
                <w:rFonts w:ascii="Times New Roman" w:hAnsi="Times New Roman"/>
                <w:i/>
                <w:iCs/>
              </w:rPr>
              <w:t>FCHEA Hydrogen &amp; Fuel Cell Seminar.</w:t>
            </w:r>
            <w:r>
              <w:rPr>
                <w:rFonts w:ascii="Times New Roman" w:hAnsi="Times New Roman"/>
              </w:rPr>
              <w:t xml:space="preserve"> Long Beach, CA. Jan 14-16, 2025. (Submitted abstract)</w:t>
            </w:r>
          </w:p>
          <w:p w14:paraId="440C66E6" w14:textId="52E2E7FF" w:rsidR="00D7305C" w:rsidRPr="00C464E5" w:rsidRDefault="00D7305C" w:rsidP="00D7305C">
            <w:pPr>
              <w:pStyle w:val="ListParagraph"/>
              <w:numPr>
                <w:ilvl w:val="0"/>
                <w:numId w:val="13"/>
              </w:numPr>
              <w:spacing w:after="0" w:line="240" w:lineRule="auto"/>
              <w:rPr>
                <w:rFonts w:ascii="Times New Roman" w:hAnsi="Times New Roman"/>
              </w:rPr>
            </w:pPr>
            <w:r w:rsidRPr="00C464E5">
              <w:rPr>
                <w:rFonts w:ascii="Times New Roman" w:hAnsi="Times New Roman"/>
              </w:rPr>
              <w:t xml:space="preserve">Saur, G. Robinson, O., Al-Douri, A., Groth, K.,Hartmann, K.,Buttner, W., Ruiz, A. </w:t>
            </w:r>
            <w:r>
              <w:rPr>
                <w:rFonts w:ascii="Times New Roman" w:hAnsi="Times New Roman"/>
              </w:rPr>
              <w:t xml:space="preserve">(2024) </w:t>
            </w:r>
            <w:r w:rsidRPr="00C464E5">
              <w:rPr>
                <w:rFonts w:ascii="Times New Roman" w:hAnsi="Times New Roman"/>
                <w:bCs/>
              </w:rPr>
              <w:t xml:space="preserve">Insights into hydrogen component failures from initial industry data in the Hydrogen Component Reliability Database (HyCReD). </w:t>
            </w:r>
            <w:r w:rsidRPr="00C464E5">
              <w:rPr>
                <w:rFonts w:ascii="Times New Roman" w:hAnsi="Times New Roman"/>
                <w:i/>
                <w:iCs/>
                <w:bdr w:val="none" w:sz="0" w:space="0" w:color="auto" w:frame="1"/>
              </w:rPr>
              <w:t>ASME 2025 Hydrogen Risk and Reliability Analysis Conference (HyRRAC2025)</w:t>
            </w:r>
            <w:r w:rsidRPr="00C464E5">
              <w:rPr>
                <w:rFonts w:ascii="Times New Roman" w:hAnsi="Times New Roman"/>
                <w:bdr w:val="none" w:sz="0" w:space="0" w:color="auto" w:frame="1"/>
              </w:rPr>
              <w:t>. Submitted, conference cancelled</w:t>
            </w:r>
            <w:r>
              <w:rPr>
                <w:rFonts w:ascii="Times New Roman" w:hAnsi="Times New Roman"/>
                <w:bdr w:val="none" w:sz="0" w:space="0" w:color="auto" w:frame="1"/>
              </w:rPr>
              <w:t>, looking for alternatives</w:t>
            </w:r>
            <w:r w:rsidRPr="00C464E5">
              <w:rPr>
                <w:rFonts w:ascii="Times New Roman" w:hAnsi="Times New Roman"/>
                <w:bdr w:val="none" w:sz="0" w:space="0" w:color="auto" w:frame="1"/>
              </w:rPr>
              <w:t>.</w:t>
            </w:r>
          </w:p>
          <w:p w14:paraId="2AD45248" w14:textId="02B5B4D0" w:rsidR="00D7305C" w:rsidRPr="005C245A" w:rsidRDefault="00D7305C" w:rsidP="00D7305C">
            <w:pPr>
              <w:pStyle w:val="ListParagraph"/>
              <w:numPr>
                <w:ilvl w:val="0"/>
                <w:numId w:val="13"/>
              </w:numPr>
              <w:spacing w:after="0" w:line="240" w:lineRule="auto"/>
              <w:rPr>
                <w:rFonts w:ascii="Times New Roman" w:hAnsi="Times New Roman"/>
              </w:rPr>
            </w:pPr>
            <w:r w:rsidRPr="00C464E5">
              <w:rPr>
                <w:rFonts w:ascii="Times New Roman" w:hAnsi="Times New Roman"/>
              </w:rPr>
              <w:t>Robinson, O., Saur, G.</w:t>
            </w:r>
            <w:r>
              <w:rPr>
                <w:rFonts w:ascii="Times New Roman" w:hAnsi="Times New Roman"/>
              </w:rPr>
              <w:t>,</w:t>
            </w:r>
            <w:r w:rsidRPr="00C464E5">
              <w:rPr>
                <w:rFonts w:ascii="Times New Roman" w:hAnsi="Times New Roman"/>
              </w:rPr>
              <w:t xml:space="preserve"> Al-Douri, A., Groth, K.,Hartmann, K.,Buttner, W., Ruiz, A. </w:t>
            </w:r>
            <w:r>
              <w:rPr>
                <w:rFonts w:ascii="Times New Roman" w:hAnsi="Times New Roman"/>
              </w:rPr>
              <w:t xml:space="preserve">(2024) </w:t>
            </w:r>
            <w:r w:rsidRPr="00C464E5">
              <w:rPr>
                <w:rFonts w:ascii="Times New Roman" w:hAnsi="Times New Roman"/>
              </w:rPr>
              <w:t>Facilitating Data Collection of Maintenance Events to Populate the Hydrogen Component Reliability Database (HyCReD).</w:t>
            </w:r>
            <w:r>
              <w:rPr>
                <w:rFonts w:ascii="Arial" w:hAnsi="Arial" w:cs="Arial"/>
              </w:rPr>
              <w:t xml:space="preserve"> </w:t>
            </w:r>
            <w:r w:rsidRPr="00C464E5">
              <w:rPr>
                <w:rFonts w:ascii="Times New Roman" w:hAnsi="Times New Roman"/>
                <w:i/>
                <w:iCs/>
                <w:bdr w:val="none" w:sz="0" w:space="0" w:color="auto" w:frame="1"/>
              </w:rPr>
              <w:t>ASME 2025 Hydrogen Risk and Reliability Analysis Conference (HyRRAC2025)</w:t>
            </w:r>
            <w:r w:rsidRPr="00C464E5">
              <w:rPr>
                <w:rFonts w:ascii="Times New Roman" w:hAnsi="Times New Roman"/>
                <w:bdr w:val="none" w:sz="0" w:space="0" w:color="auto" w:frame="1"/>
              </w:rPr>
              <w:t>. Submitted, conference cancelled</w:t>
            </w:r>
            <w:r>
              <w:rPr>
                <w:rFonts w:ascii="Times New Roman" w:hAnsi="Times New Roman"/>
                <w:bdr w:val="none" w:sz="0" w:space="0" w:color="auto" w:frame="1"/>
              </w:rPr>
              <w:t>, looking for alternatives</w:t>
            </w:r>
            <w:r w:rsidRPr="00C464E5">
              <w:rPr>
                <w:rFonts w:ascii="Times New Roman" w:hAnsi="Times New Roman"/>
                <w:bdr w:val="none" w:sz="0" w:space="0" w:color="auto" w:frame="1"/>
              </w:rPr>
              <w:t>.</w:t>
            </w:r>
          </w:p>
          <w:p w14:paraId="2E656DFF" w14:textId="77777777" w:rsidR="00D7305C" w:rsidRPr="000A0F71" w:rsidRDefault="00D7305C" w:rsidP="00D7305C">
            <w:pPr>
              <w:spacing w:after="0" w:line="240" w:lineRule="auto"/>
            </w:pPr>
            <w:r w:rsidRPr="000A0F71">
              <w:t>Talks</w:t>
            </w:r>
          </w:p>
          <w:p w14:paraId="0439A150" w14:textId="77777777" w:rsidR="00D7305C" w:rsidRPr="00B76EF0" w:rsidRDefault="00D7305C" w:rsidP="00D7305C">
            <w:pPr>
              <w:pStyle w:val="ListParagraph"/>
              <w:numPr>
                <w:ilvl w:val="0"/>
                <w:numId w:val="16"/>
              </w:numPr>
              <w:spacing w:after="0" w:line="240" w:lineRule="auto"/>
              <w:rPr>
                <w:rFonts w:ascii="Times New Roman" w:hAnsi="Times New Roman"/>
                <w:strike/>
              </w:rPr>
            </w:pPr>
            <w:r w:rsidRPr="006256C4">
              <w:rPr>
                <w:rFonts w:ascii="Times New Roman" w:hAnsi="Times New Roman"/>
              </w:rPr>
              <w:t xml:space="preserve">Saur, G., &amp; Nagasawa, K. (2024). Offshore Wind to Hydrogen - Modeling, Analysis, Testing and </w:t>
            </w:r>
            <w:r w:rsidRPr="00D7305C">
              <w:rPr>
                <w:rFonts w:ascii="Times New Roman" w:hAnsi="Times New Roman"/>
              </w:rPr>
              <w:t xml:space="preserve">International Collaboration Work. </w:t>
            </w:r>
            <w:hyperlink r:id="rId12" w:history="1">
              <w:r w:rsidRPr="00D7305C">
                <w:rPr>
                  <w:rStyle w:val="Hyperlink"/>
                  <w:rFonts w:ascii="Times New Roman" w:hAnsi="Times New Roman"/>
                </w:rPr>
                <w:t>https://www.nrel.gov/docs/fy24osti/89549.pdf</w:t>
              </w:r>
            </w:hyperlink>
            <w:r w:rsidRPr="00B76EF0">
              <w:rPr>
                <w:rFonts w:ascii="Times New Roman" w:hAnsi="Times New Roman"/>
                <w:strike/>
              </w:rPr>
              <w:t xml:space="preserve"> </w:t>
            </w:r>
          </w:p>
          <w:p w14:paraId="31EE2D17" w14:textId="77777777" w:rsidR="00D7305C" w:rsidRPr="00360E7E" w:rsidRDefault="00D7305C" w:rsidP="00D7305C">
            <w:pPr>
              <w:pStyle w:val="ListParagraph"/>
              <w:numPr>
                <w:ilvl w:val="0"/>
                <w:numId w:val="16"/>
              </w:numPr>
              <w:spacing w:after="0" w:line="240" w:lineRule="auto"/>
              <w:rPr>
                <w:rFonts w:ascii="Times New Roman" w:hAnsi="Times New Roman"/>
              </w:rPr>
            </w:pPr>
            <w:r w:rsidRPr="00360E7E">
              <w:rPr>
                <w:rFonts w:ascii="Times New Roman" w:hAnsi="Times New Roman"/>
              </w:rPr>
              <w:lastRenderedPageBreak/>
              <w:t xml:space="preserve">Saur, G., Hartmann, K., Al-Douri, A., Robinson, O., Buttner, W., &amp; Groth, K. (2024). Component Failure R&amp;D. </w:t>
            </w:r>
            <w:hyperlink r:id="rId13" w:history="1">
              <w:r w:rsidRPr="000C6AC4">
                <w:rPr>
                  <w:rStyle w:val="Hyperlink"/>
                  <w:rFonts w:ascii="Times New Roman" w:hAnsi="Times New Roman"/>
                </w:rPr>
                <w:t>https://www.nrel.gov/docs/fy24osti/89544.pdf</w:t>
              </w:r>
            </w:hyperlink>
            <w:r>
              <w:rPr>
                <w:rFonts w:ascii="Times New Roman" w:hAnsi="Times New Roman"/>
              </w:rPr>
              <w:t xml:space="preserve"> </w:t>
            </w:r>
          </w:p>
          <w:p w14:paraId="19449995" w14:textId="77777777" w:rsidR="00D7305C" w:rsidRPr="00BA70C1" w:rsidRDefault="00D7305C" w:rsidP="00D7305C">
            <w:pPr>
              <w:pStyle w:val="ListParagraph"/>
              <w:numPr>
                <w:ilvl w:val="0"/>
                <w:numId w:val="16"/>
              </w:numPr>
              <w:spacing w:after="0" w:line="240" w:lineRule="auto"/>
              <w:rPr>
                <w:rFonts w:ascii="Times New Roman" w:hAnsi="Times New Roman"/>
              </w:rPr>
            </w:pPr>
            <w:r w:rsidRPr="00360E7E">
              <w:rPr>
                <w:rFonts w:ascii="Times New Roman" w:hAnsi="Times New Roman"/>
              </w:rPr>
              <w:t xml:space="preserve">Saur, G., Hartmann, K., Groth, K., Buttner, W., Al-Douri, A., &amp; Robinson, O. (2024). Hydrogen Component Reliability Database (HyCReD). </w:t>
            </w:r>
            <w:hyperlink r:id="rId14" w:history="1">
              <w:r w:rsidRPr="000C6AC4">
                <w:rPr>
                  <w:rStyle w:val="Hyperlink"/>
                  <w:rFonts w:ascii="Times New Roman" w:hAnsi="Times New Roman"/>
                </w:rPr>
                <w:t>https://www.nrel.gov/docs/fy24osti/89542.pdf</w:t>
              </w:r>
            </w:hyperlink>
          </w:p>
          <w:p w14:paraId="77C4B4E1" w14:textId="77777777" w:rsidR="00D7305C" w:rsidRPr="00BA70C1" w:rsidRDefault="00D7305C" w:rsidP="00D7305C">
            <w:pPr>
              <w:pStyle w:val="ListParagraph"/>
              <w:numPr>
                <w:ilvl w:val="0"/>
                <w:numId w:val="16"/>
              </w:numPr>
              <w:spacing w:after="0" w:line="240" w:lineRule="auto"/>
            </w:pPr>
            <w:r>
              <w:rPr>
                <w:rFonts w:ascii="Times New Roman" w:hAnsi="Times New Roman"/>
              </w:rPr>
              <w:t xml:space="preserve">Saur, G. (2024) NREL Database on Fuel Quality. </w:t>
            </w:r>
            <w:r w:rsidRPr="00360E7E">
              <w:rPr>
                <w:rFonts w:ascii="Times New Roman" w:hAnsi="Times New Roman"/>
                <w:i/>
                <w:iCs/>
              </w:rPr>
              <w:t>ISO ASTM Meeting and Workshop</w:t>
            </w:r>
            <w:r>
              <w:rPr>
                <w:rFonts w:ascii="Times New Roman" w:hAnsi="Times New Roman"/>
                <w:i/>
                <w:iCs/>
              </w:rPr>
              <w:t xml:space="preserve">. </w:t>
            </w:r>
            <w:r w:rsidRPr="00360E7E">
              <w:rPr>
                <w:rFonts w:ascii="Times New Roman" w:hAnsi="Times New Roman"/>
              </w:rPr>
              <w:t xml:space="preserve">National Renewable Energy Laboratory, </w:t>
            </w:r>
            <w:r>
              <w:rPr>
                <w:rFonts w:ascii="Times New Roman" w:hAnsi="Times New Roman"/>
              </w:rPr>
              <w:t xml:space="preserve">Golden, CO. </w:t>
            </w:r>
            <w:r w:rsidRPr="00360E7E">
              <w:rPr>
                <w:rFonts w:ascii="Times New Roman" w:hAnsi="Times New Roman"/>
              </w:rPr>
              <w:t>February 8, 2024.</w:t>
            </w:r>
          </w:p>
          <w:p w14:paraId="505C0E14" w14:textId="77777777" w:rsidR="00D7305C" w:rsidRPr="00360E7E" w:rsidRDefault="00D7305C" w:rsidP="00D7305C">
            <w:pPr>
              <w:pStyle w:val="ListParagraph"/>
              <w:numPr>
                <w:ilvl w:val="0"/>
                <w:numId w:val="16"/>
              </w:numPr>
              <w:spacing w:after="0" w:line="240" w:lineRule="auto"/>
              <w:rPr>
                <w:rFonts w:ascii="Times New Roman" w:hAnsi="Times New Roman"/>
              </w:rPr>
            </w:pPr>
            <w:r w:rsidRPr="00360E7E">
              <w:rPr>
                <w:rFonts w:ascii="Times New Roman" w:hAnsi="Times New Roman"/>
              </w:rPr>
              <w:t>Buttner, W., Watson, C., Saur, G., Groth, K., Al-Douri, A., &amp; Robinson, O. (2024). Increasing Reliability and Safety of Hydrogen Components - Reliability Data Collection. https://doi.org/10.2172/2337666</w:t>
            </w:r>
          </w:p>
          <w:p w14:paraId="7694F625" w14:textId="77777777" w:rsidR="00D7305C" w:rsidRPr="00BA70C1" w:rsidRDefault="00D7305C" w:rsidP="00D7305C">
            <w:pPr>
              <w:pStyle w:val="ListParagraph"/>
              <w:numPr>
                <w:ilvl w:val="0"/>
                <w:numId w:val="16"/>
              </w:numPr>
              <w:spacing w:after="0" w:line="240" w:lineRule="auto"/>
              <w:rPr>
                <w:rFonts w:ascii="Times New Roman" w:hAnsi="Times New Roman"/>
                <w:i/>
                <w:iCs/>
              </w:rPr>
            </w:pPr>
            <w:r w:rsidRPr="00BA70C1">
              <w:rPr>
                <w:rFonts w:ascii="Times New Roman" w:hAnsi="Times New Roman"/>
              </w:rPr>
              <w:t xml:space="preserve">Saur, G. </w:t>
            </w:r>
            <w:r>
              <w:rPr>
                <w:rFonts w:ascii="Times New Roman" w:hAnsi="Times New Roman"/>
              </w:rPr>
              <w:t xml:space="preserve">(2024) </w:t>
            </w:r>
            <w:r w:rsidRPr="00BA70C1">
              <w:rPr>
                <w:rFonts w:ascii="Times New Roman" w:hAnsi="Times New Roman"/>
              </w:rPr>
              <w:t xml:space="preserve">O&amp;M Challenges for Hydrogen. </w:t>
            </w:r>
            <w:r w:rsidRPr="00BA70C1">
              <w:rPr>
                <w:rFonts w:ascii="Times New Roman" w:hAnsi="Times New Roman"/>
                <w:i/>
                <w:iCs/>
              </w:rPr>
              <w:t>Prognostics and Health Management for Renewables Workshop</w:t>
            </w:r>
            <w:r>
              <w:rPr>
                <w:rFonts w:ascii="Times New Roman" w:hAnsi="Times New Roman"/>
                <w:i/>
                <w:iCs/>
              </w:rPr>
              <w:t xml:space="preserve">. </w:t>
            </w:r>
            <w:r>
              <w:rPr>
                <w:rFonts w:ascii="Times New Roman" w:hAnsi="Times New Roman"/>
              </w:rPr>
              <w:t>National Renewable Energy Laboratory. May 21-22, 2024.</w:t>
            </w:r>
          </w:p>
          <w:p w14:paraId="4BB3E453" w14:textId="77777777" w:rsidR="00D7305C" w:rsidRDefault="00D7305C" w:rsidP="00D7305C">
            <w:pPr>
              <w:pStyle w:val="ListParagraph"/>
              <w:numPr>
                <w:ilvl w:val="0"/>
                <w:numId w:val="16"/>
              </w:numPr>
              <w:spacing w:after="0" w:line="240" w:lineRule="auto"/>
              <w:rPr>
                <w:rFonts w:ascii="Times New Roman" w:hAnsi="Times New Roman"/>
              </w:rPr>
            </w:pPr>
            <w:r w:rsidRPr="00EB78CA">
              <w:rPr>
                <w:rFonts w:ascii="Times New Roman" w:hAnsi="Times New Roman"/>
              </w:rPr>
              <w:t xml:space="preserve">Saur, G. (2024) Talk with a hydrogen engineer. </w:t>
            </w:r>
            <w:r w:rsidRPr="00EB78CA">
              <w:rPr>
                <w:rFonts w:ascii="Times New Roman" w:hAnsi="Times New Roman"/>
                <w:i/>
                <w:iCs/>
              </w:rPr>
              <w:t xml:space="preserve">Johns Hopkins Medicine Lunch and Learn: A Day in the Life of a Specialist. </w:t>
            </w:r>
            <w:r w:rsidRPr="00EB78CA">
              <w:rPr>
                <w:rFonts w:ascii="Times New Roman" w:hAnsi="Times New Roman"/>
              </w:rPr>
              <w:t>Virtual. July 24, 2024.</w:t>
            </w:r>
          </w:p>
          <w:p w14:paraId="4F4B19CB" w14:textId="77777777" w:rsidR="00D7305C" w:rsidRDefault="00D7305C" w:rsidP="00D7305C">
            <w:pPr>
              <w:pStyle w:val="ListParagraph"/>
              <w:numPr>
                <w:ilvl w:val="0"/>
                <w:numId w:val="16"/>
              </w:numPr>
              <w:spacing w:after="0" w:line="240" w:lineRule="auto"/>
              <w:rPr>
                <w:rFonts w:ascii="Times New Roman" w:hAnsi="Times New Roman"/>
              </w:rPr>
            </w:pPr>
            <w:r>
              <w:rPr>
                <w:rFonts w:ascii="Times New Roman" w:hAnsi="Times New Roman"/>
              </w:rPr>
              <w:t>Saur, G. (2023) Hydrogen Component Reliability Database. H2 Joint Tech Team Meeting. Virtual. November 9, 2023.</w:t>
            </w:r>
          </w:p>
          <w:p w14:paraId="0F297231" w14:textId="77777777" w:rsidR="00D7305C" w:rsidRDefault="00D7305C" w:rsidP="00D7305C">
            <w:pPr>
              <w:pStyle w:val="ListParagraph"/>
              <w:numPr>
                <w:ilvl w:val="0"/>
                <w:numId w:val="16"/>
              </w:numPr>
              <w:spacing w:after="0" w:line="240" w:lineRule="auto"/>
              <w:rPr>
                <w:rFonts w:ascii="Times New Roman" w:hAnsi="Times New Roman"/>
              </w:rPr>
            </w:pPr>
            <w:r>
              <w:rPr>
                <w:rFonts w:ascii="Times New Roman" w:hAnsi="Times New Roman"/>
              </w:rPr>
              <w:t xml:space="preserve">Saur, G. (2023) </w:t>
            </w:r>
            <w:r w:rsidRPr="00EB78CA">
              <w:rPr>
                <w:rFonts w:ascii="Times New Roman" w:hAnsi="Times New Roman"/>
              </w:rPr>
              <w:t>Station Data Collection and Reliability Analysis at NREL</w:t>
            </w:r>
            <w:r>
              <w:rPr>
                <w:rFonts w:ascii="Times New Roman" w:hAnsi="Times New Roman"/>
              </w:rPr>
              <w:t>. Kyushu University/JRMA Site Visit. National Renewable Energy Laboratory. Golden, CO. December 11, 2023.</w:t>
            </w:r>
          </w:p>
          <w:p w14:paraId="5CB87878" w14:textId="440E756D" w:rsidR="00A2327C" w:rsidRPr="00D7305C" w:rsidRDefault="00D7305C" w:rsidP="00D7305C">
            <w:pPr>
              <w:pStyle w:val="ListParagraph"/>
              <w:numPr>
                <w:ilvl w:val="0"/>
                <w:numId w:val="16"/>
              </w:numPr>
              <w:spacing w:after="0" w:line="240" w:lineRule="auto"/>
              <w:rPr>
                <w:rFonts w:ascii="Times New Roman" w:hAnsi="Times New Roman"/>
              </w:rPr>
            </w:pPr>
            <w:r>
              <w:rPr>
                <w:rFonts w:ascii="Times New Roman" w:hAnsi="Times New Roman"/>
              </w:rPr>
              <w:t xml:space="preserve">Saur, G. </w:t>
            </w:r>
            <w:r w:rsidRPr="00EB78CA">
              <w:rPr>
                <w:rFonts w:ascii="Times New Roman" w:hAnsi="Times New Roman"/>
              </w:rPr>
              <w:t>NREL’s Hydrogen Component Reliability Program</w:t>
            </w:r>
            <w:r>
              <w:rPr>
                <w:rFonts w:ascii="Times New Roman" w:hAnsi="Times New Roman"/>
              </w:rPr>
              <w:t xml:space="preserve">. </w:t>
            </w:r>
            <w:r w:rsidRPr="00D7305C">
              <w:rPr>
                <w:rFonts w:ascii="Times New Roman" w:hAnsi="Times New Roman"/>
              </w:rPr>
              <w:t>Hydrogenius Symposium.</w:t>
            </w:r>
            <w:r>
              <w:rPr>
                <w:rFonts w:ascii="Times New Roman" w:hAnsi="Times New Roman"/>
              </w:rPr>
              <w:t xml:space="preserve"> Kyushu University, Fukuoka, Japan, September 12-13, 2024.</w:t>
            </w:r>
            <w:r w:rsidRPr="00D7305C">
              <w:rPr>
                <w:rFonts w:ascii="Times New Roman" w:hAnsi="Times New Roman"/>
              </w:rPr>
              <w:t> </w:t>
            </w:r>
          </w:p>
          <w:p w14:paraId="2BF28197" w14:textId="77777777" w:rsidR="00651399" w:rsidRPr="00D810AE" w:rsidRDefault="00651399" w:rsidP="00702907">
            <w:pPr>
              <w:pStyle w:val="ListParagraph"/>
              <w:spacing w:before="60" w:after="0" w:line="240" w:lineRule="auto"/>
              <w:ind w:left="0"/>
              <w:rPr>
                <w:rFonts w:ascii="Arial" w:hAnsi="Arial" w:cs="Arial"/>
                <w:sz w:val="20"/>
                <w:szCs w:val="20"/>
              </w:rPr>
            </w:pPr>
          </w:p>
        </w:tc>
      </w:tr>
      <w:tr w:rsidR="00A2327C" w:rsidRPr="00D810AE" w14:paraId="75155D4F" w14:textId="77777777" w:rsidTr="0C2CFFAB">
        <w:trPr>
          <w:trHeight w:val="314"/>
        </w:trPr>
        <w:tc>
          <w:tcPr>
            <w:tcW w:w="10935" w:type="dxa"/>
            <w:gridSpan w:val="5"/>
            <w:shd w:val="clear" w:color="auto" w:fill="BFBFBF" w:themeFill="background1" w:themeFillShade="BF"/>
          </w:tcPr>
          <w:p w14:paraId="02C5B09E" w14:textId="53AD698B" w:rsidR="00A2327C" w:rsidRPr="00D810AE" w:rsidRDefault="00B75DE7" w:rsidP="001722C1">
            <w:pPr>
              <w:pStyle w:val="ListParagraph"/>
              <w:numPr>
                <w:ilvl w:val="0"/>
                <w:numId w:val="5"/>
              </w:numPr>
              <w:spacing w:after="0" w:line="240" w:lineRule="auto"/>
              <w:ind w:left="360"/>
              <w:rPr>
                <w:rFonts w:ascii="Arial" w:hAnsi="Arial" w:cs="Arial"/>
                <w:b/>
                <w:sz w:val="24"/>
                <w:szCs w:val="24"/>
              </w:rPr>
            </w:pPr>
            <w:r>
              <w:rPr>
                <w:rFonts w:ascii="Arial" w:hAnsi="Arial" w:cs="Arial"/>
                <w:b/>
                <w:sz w:val="24"/>
                <w:szCs w:val="24"/>
              </w:rPr>
              <w:lastRenderedPageBreak/>
              <w:t xml:space="preserve">Line </w:t>
            </w:r>
            <w:r w:rsidR="00A2327C" w:rsidRPr="00D810AE">
              <w:rPr>
                <w:rFonts w:ascii="Arial" w:hAnsi="Arial" w:cs="Arial"/>
                <w:b/>
                <w:sz w:val="24"/>
                <w:szCs w:val="24"/>
              </w:rPr>
              <w:t>Manager</w:t>
            </w:r>
            <w:r w:rsidR="00DF7190">
              <w:rPr>
                <w:rFonts w:ascii="Arial" w:hAnsi="Arial" w:cs="Arial"/>
                <w:b/>
                <w:sz w:val="24"/>
                <w:szCs w:val="24"/>
              </w:rPr>
              <w:t>’s</w:t>
            </w:r>
            <w:r w:rsidR="00A2327C" w:rsidRPr="00D810AE">
              <w:rPr>
                <w:rFonts w:ascii="Arial" w:hAnsi="Arial" w:cs="Arial"/>
                <w:b/>
                <w:sz w:val="24"/>
                <w:szCs w:val="24"/>
              </w:rPr>
              <w:t xml:space="preserve"> Feedback</w:t>
            </w:r>
          </w:p>
        </w:tc>
      </w:tr>
      <w:tr w:rsidR="00A2327C" w:rsidRPr="00D810AE" w14:paraId="390F2DAD" w14:textId="77777777" w:rsidTr="0C2CFFAB">
        <w:trPr>
          <w:trHeight w:val="4320"/>
        </w:trPr>
        <w:tc>
          <w:tcPr>
            <w:tcW w:w="10935" w:type="dxa"/>
            <w:gridSpan w:val="5"/>
            <w:shd w:val="clear" w:color="auto" w:fill="auto"/>
          </w:tcPr>
          <w:p w14:paraId="11101B4C" w14:textId="0A101026" w:rsidR="00A2327C" w:rsidRPr="00D810AE" w:rsidRDefault="00A2327C" w:rsidP="0C2CFFAB">
            <w:pPr>
              <w:spacing w:after="0" w:line="240" w:lineRule="auto"/>
              <w:rPr>
                <w:rFonts w:ascii="Arial" w:eastAsia="Arial" w:hAnsi="Arial" w:cs="Arial"/>
              </w:rPr>
            </w:pPr>
          </w:p>
          <w:p w14:paraId="36725565" w14:textId="3B60C8E6" w:rsidR="00A2327C" w:rsidRPr="00D810AE" w:rsidRDefault="0C2CFFAB" w:rsidP="0C2CFFAB">
            <w:pPr>
              <w:spacing w:after="0" w:line="240" w:lineRule="auto"/>
              <w:rPr>
                <w:rFonts w:ascii="Arial" w:eastAsia="Arial" w:hAnsi="Arial" w:cs="Arial"/>
              </w:rPr>
            </w:pPr>
            <w:r w:rsidRPr="0C2CFFAB">
              <w:rPr>
                <w:rFonts w:ascii="Arial" w:eastAsia="Arial" w:hAnsi="Arial" w:cs="Arial"/>
              </w:rPr>
              <w:t>Feedback from Manager:</w:t>
            </w:r>
          </w:p>
          <w:p w14:paraId="61247460" w14:textId="453AF26F" w:rsidR="00A2327C" w:rsidRPr="00D810AE" w:rsidRDefault="0C2CFFAB" w:rsidP="0C2CFFAB">
            <w:pPr>
              <w:pStyle w:val="ListParagraph"/>
              <w:numPr>
                <w:ilvl w:val="0"/>
                <w:numId w:val="1"/>
              </w:numPr>
              <w:spacing w:after="0" w:line="240" w:lineRule="auto"/>
              <w:rPr>
                <w:rFonts w:ascii="Arial" w:eastAsia="Arial" w:hAnsi="Arial" w:cs="Arial"/>
              </w:rPr>
            </w:pPr>
            <w:r w:rsidRPr="0C2CFFAB">
              <w:rPr>
                <w:rFonts w:ascii="Arial" w:eastAsia="Arial" w:hAnsi="Arial" w:cs="Arial"/>
              </w:rPr>
              <w:t>Genevieve is a pleasure to work with. Genevieve consistently demonstrates technical expertise and leadership qualities in her interactions with colleagues and mentees. She always brings a friendly and amicable attitude in her collaborations.</w:t>
            </w:r>
          </w:p>
          <w:p w14:paraId="5840F472" w14:textId="06669961" w:rsidR="00A2327C" w:rsidRPr="00D810AE" w:rsidRDefault="0C2CFFAB" w:rsidP="0C2CFFAB">
            <w:pPr>
              <w:pStyle w:val="ListParagraph"/>
              <w:numPr>
                <w:ilvl w:val="0"/>
                <w:numId w:val="1"/>
              </w:numPr>
              <w:spacing w:after="0" w:line="240" w:lineRule="auto"/>
              <w:rPr>
                <w:rFonts w:ascii="Arial" w:eastAsia="Arial" w:hAnsi="Arial" w:cs="Arial"/>
              </w:rPr>
            </w:pPr>
            <w:r w:rsidRPr="0C2CFFAB">
              <w:rPr>
                <w:rFonts w:ascii="Arial" w:eastAsia="Arial" w:hAnsi="Arial" w:cs="Arial"/>
              </w:rPr>
              <w:t>One area where Genevieve could improve is learning to say “no”. The hydrogen team gets a lot of work requests but not all of it is important to or aligns with our specific research areas. When this happens, in my opinion, it is OK to turn down a project and/or recommend someone else to step in. I think Genevieve sometimes takes on too many responsibilities which can result in her feeling like she is pulled in too many directions and results in less time to focus on specific projects and what’s most important or interesting for her and her career. I think practicing this might enable her to better focus, delegate tasks, and ultimately find more satisfaction in her work.</w:t>
            </w:r>
          </w:p>
          <w:p w14:paraId="3CD919DA" w14:textId="0EE1FDDE" w:rsidR="00A2327C" w:rsidRPr="00D810AE" w:rsidRDefault="00A2327C" w:rsidP="0C2CFFAB">
            <w:pPr>
              <w:spacing w:after="0" w:line="240" w:lineRule="auto"/>
              <w:rPr>
                <w:rFonts w:ascii="Arial" w:eastAsia="Arial" w:hAnsi="Arial" w:cs="Arial"/>
              </w:rPr>
            </w:pPr>
          </w:p>
          <w:p w14:paraId="61FD64D6" w14:textId="70DC87CE" w:rsidR="00A2327C" w:rsidRPr="00D810AE" w:rsidRDefault="00A2327C" w:rsidP="0C2CFFAB">
            <w:pPr>
              <w:spacing w:after="0" w:line="240" w:lineRule="auto"/>
              <w:rPr>
                <w:rFonts w:ascii="Arial" w:eastAsia="Arial" w:hAnsi="Arial" w:cs="Arial"/>
              </w:rPr>
            </w:pPr>
          </w:p>
          <w:p w14:paraId="56CFAE8A" w14:textId="56BB3A78" w:rsidR="00A2327C" w:rsidRPr="00D810AE" w:rsidRDefault="0C2CFFAB" w:rsidP="0C2CFFAB">
            <w:pPr>
              <w:spacing w:after="0" w:line="240" w:lineRule="auto"/>
              <w:rPr>
                <w:rFonts w:ascii="Arial" w:eastAsia="Arial" w:hAnsi="Arial" w:cs="Arial"/>
              </w:rPr>
            </w:pPr>
            <w:r w:rsidRPr="0C2CFFAB">
              <w:rPr>
                <w:rFonts w:ascii="Arial" w:eastAsia="Arial" w:hAnsi="Arial" w:cs="Arial"/>
              </w:rPr>
              <w:t>Comments from Peer Review with suggestions for improvement:</w:t>
            </w:r>
          </w:p>
          <w:p w14:paraId="3A167E89" w14:textId="49314835" w:rsidR="00A2327C" w:rsidRPr="00D810AE" w:rsidRDefault="0C2CFFAB" w:rsidP="0C2CFFAB">
            <w:pPr>
              <w:pStyle w:val="ListParagraph"/>
              <w:numPr>
                <w:ilvl w:val="0"/>
                <w:numId w:val="2"/>
              </w:numPr>
              <w:spacing w:after="0" w:line="240" w:lineRule="auto"/>
              <w:rPr>
                <w:rFonts w:ascii="Arial" w:eastAsia="Arial" w:hAnsi="Arial" w:cs="Arial"/>
              </w:rPr>
            </w:pPr>
            <w:r w:rsidRPr="0C2CFFAB">
              <w:rPr>
                <w:rFonts w:ascii="Arial" w:eastAsia="Arial" w:hAnsi="Arial" w:cs="Arial"/>
                <w:color w:val="000000" w:themeColor="text1"/>
              </w:rPr>
              <w:t xml:space="preserve">Genevieve provides the information needed for the project using her professional network. She knows subject matter experts within and outside of NREL, so her knowledge really helps complete the project. </w:t>
            </w:r>
          </w:p>
          <w:p w14:paraId="07DDBE74" w14:textId="32235DD3" w:rsidR="00A2327C" w:rsidRPr="00D810AE" w:rsidRDefault="0C2CFFAB" w:rsidP="0C2CFFAB">
            <w:pPr>
              <w:pStyle w:val="ListParagraph"/>
              <w:numPr>
                <w:ilvl w:val="0"/>
                <w:numId w:val="2"/>
              </w:numPr>
              <w:spacing w:after="0" w:line="240" w:lineRule="auto"/>
              <w:rPr>
                <w:rFonts w:ascii="Arial" w:eastAsia="Arial" w:hAnsi="Arial" w:cs="Arial"/>
              </w:rPr>
            </w:pPr>
            <w:r w:rsidRPr="0C2CFFAB">
              <w:rPr>
                <w:rFonts w:ascii="Arial" w:eastAsia="Arial" w:hAnsi="Arial" w:cs="Arial"/>
                <w:color w:val="000000" w:themeColor="text1"/>
              </w:rPr>
              <w:t>She provides various guidance to me. This is particularly helpful for me to work on this project as well as other projects that I’m working on.</w:t>
            </w:r>
          </w:p>
          <w:p w14:paraId="1D8D2E4E" w14:textId="7922E535" w:rsidR="00A2327C" w:rsidRPr="00D810AE" w:rsidRDefault="0C2CFFAB" w:rsidP="0C2CFFAB">
            <w:pPr>
              <w:pStyle w:val="ListParagraph"/>
              <w:numPr>
                <w:ilvl w:val="0"/>
                <w:numId w:val="2"/>
              </w:numPr>
              <w:spacing w:after="0" w:line="240" w:lineRule="auto"/>
              <w:rPr>
                <w:rFonts w:ascii="Arial" w:eastAsia="Arial" w:hAnsi="Arial" w:cs="Arial"/>
              </w:rPr>
            </w:pPr>
            <w:r w:rsidRPr="0C2CFFAB">
              <w:rPr>
                <w:rFonts w:ascii="Arial" w:eastAsia="Arial" w:hAnsi="Arial" w:cs="Arial"/>
              </w:rPr>
              <w:t>Been instrumental in analyzing all the hydrogen station data even while less focus and some staff leaving the project. Keeps things on track, makes sure meetings are coordinated. Friendly and communicative while keeping DOE/HFTO in the loop.</w:t>
            </w:r>
          </w:p>
          <w:p w14:paraId="4FA99D95" w14:textId="6BF150E9" w:rsidR="00A2327C" w:rsidRPr="00D810AE" w:rsidRDefault="0C2CFFAB" w:rsidP="0C2CFFAB">
            <w:pPr>
              <w:pStyle w:val="ListParagraph"/>
              <w:numPr>
                <w:ilvl w:val="0"/>
                <w:numId w:val="2"/>
              </w:numPr>
              <w:spacing w:after="0" w:line="240" w:lineRule="auto"/>
              <w:rPr>
                <w:rFonts w:ascii="Arial" w:eastAsia="Arial" w:hAnsi="Arial" w:cs="Arial"/>
              </w:rPr>
            </w:pPr>
            <w:r w:rsidRPr="0C2CFFAB">
              <w:rPr>
                <w:rFonts w:ascii="Arial" w:eastAsia="Arial" w:hAnsi="Arial" w:cs="Arial"/>
                <w:color w:val="000000" w:themeColor="text1"/>
              </w:rPr>
              <w:t>There may be a need for finding new ways to delegate key parts of data analysis to other staff to free up her time to coordinate project direction/ high level management decisions for project.</w:t>
            </w:r>
          </w:p>
        </w:tc>
      </w:tr>
      <w:tr w:rsidR="00A2327C" w:rsidRPr="00D810AE" w14:paraId="4F488326" w14:textId="77777777" w:rsidTr="0C2CFFAB">
        <w:trPr>
          <w:trHeight w:val="360"/>
        </w:trPr>
        <w:tc>
          <w:tcPr>
            <w:tcW w:w="10935" w:type="dxa"/>
            <w:gridSpan w:val="5"/>
            <w:shd w:val="clear" w:color="auto" w:fill="BFBFBF" w:themeFill="background1" w:themeFillShade="BF"/>
            <w:vAlign w:val="center"/>
          </w:tcPr>
          <w:p w14:paraId="165829CE" w14:textId="7756FD71" w:rsidR="00A2327C" w:rsidRPr="00647525" w:rsidRDefault="00A2327C" w:rsidP="00E3200D">
            <w:pPr>
              <w:pStyle w:val="ListParagraph"/>
              <w:keepNext/>
              <w:numPr>
                <w:ilvl w:val="0"/>
                <w:numId w:val="5"/>
              </w:numPr>
              <w:spacing w:after="0" w:line="240" w:lineRule="auto"/>
              <w:ind w:left="71" w:firstLine="0"/>
              <w:rPr>
                <w:rFonts w:ascii="Arial" w:hAnsi="Arial" w:cs="Arial"/>
                <w:b/>
                <w:bCs/>
                <w:sz w:val="24"/>
                <w:szCs w:val="24"/>
              </w:rPr>
            </w:pPr>
            <w:r w:rsidRPr="00647525">
              <w:rPr>
                <w:rFonts w:ascii="Arial" w:hAnsi="Arial" w:cs="Arial"/>
                <w:b/>
                <w:bCs/>
                <w:sz w:val="24"/>
                <w:szCs w:val="24"/>
              </w:rPr>
              <w:t xml:space="preserve">Major Performance Objectives for </w:t>
            </w:r>
            <w:r w:rsidR="005B19F1" w:rsidRPr="00647525">
              <w:rPr>
                <w:rFonts w:ascii="Arial" w:hAnsi="Arial" w:cs="Arial"/>
                <w:b/>
                <w:bCs/>
                <w:sz w:val="24"/>
                <w:szCs w:val="24"/>
              </w:rPr>
              <w:t>Next Fiscal Year</w:t>
            </w:r>
            <w:r w:rsidRPr="00647525">
              <w:rPr>
                <w:rFonts w:ascii="Arial" w:hAnsi="Arial" w:cs="Arial"/>
                <w:b/>
                <w:bCs/>
                <w:sz w:val="24"/>
                <w:szCs w:val="24"/>
              </w:rPr>
              <w:t>:</w:t>
            </w:r>
            <w:r w:rsidRPr="00E3200D">
              <w:rPr>
                <w:rFonts w:ascii="Arial" w:hAnsi="Arial" w:cs="Arial"/>
              </w:rPr>
              <w:t xml:space="preserve"> </w:t>
            </w:r>
            <w:r w:rsidRPr="00E3200D">
              <w:rPr>
                <w:rFonts w:ascii="Arial" w:hAnsi="Arial" w:cs="Arial"/>
                <w:sz w:val="20"/>
                <w:szCs w:val="20"/>
              </w:rPr>
              <w:t xml:space="preserve">State major objectives for </w:t>
            </w:r>
            <w:r w:rsidR="005B19F1" w:rsidRPr="00E3200D">
              <w:rPr>
                <w:rFonts w:ascii="Arial" w:hAnsi="Arial" w:cs="Arial"/>
                <w:sz w:val="20"/>
                <w:szCs w:val="20"/>
              </w:rPr>
              <w:t>next year</w:t>
            </w:r>
            <w:r w:rsidRPr="00E3200D">
              <w:rPr>
                <w:rFonts w:ascii="Arial" w:hAnsi="Arial" w:cs="Arial"/>
                <w:sz w:val="20"/>
                <w:szCs w:val="20"/>
              </w:rPr>
              <w:t>.</w:t>
            </w:r>
          </w:p>
        </w:tc>
      </w:tr>
      <w:tr w:rsidR="00A2327C" w:rsidRPr="00D810AE" w14:paraId="39F5A569" w14:textId="77777777" w:rsidTr="0C2CFFAB">
        <w:trPr>
          <w:trHeight w:val="512"/>
        </w:trPr>
        <w:tc>
          <w:tcPr>
            <w:tcW w:w="10935" w:type="dxa"/>
            <w:gridSpan w:val="5"/>
            <w:shd w:val="clear" w:color="auto" w:fill="auto"/>
          </w:tcPr>
          <w:p w14:paraId="2BDC354D" w14:textId="53ADFDBE" w:rsidR="00A2327C" w:rsidRPr="00D810AE" w:rsidRDefault="00654C45"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HyCReD: Public website development, collect at least data from 2 industry sources and increase HyCReD entries to 150, Implement at least one automated graphic into the online portal framework</w:t>
            </w:r>
          </w:p>
        </w:tc>
      </w:tr>
      <w:tr w:rsidR="00A2327C" w:rsidRPr="00D810AE" w14:paraId="2BC3D350" w14:textId="77777777" w:rsidTr="0C2CFFAB">
        <w:trPr>
          <w:trHeight w:val="512"/>
        </w:trPr>
        <w:tc>
          <w:tcPr>
            <w:tcW w:w="10935" w:type="dxa"/>
            <w:gridSpan w:val="5"/>
            <w:shd w:val="clear" w:color="auto" w:fill="auto"/>
          </w:tcPr>
          <w:p w14:paraId="1FD79034" w14:textId="7D0144C3" w:rsidR="00A2327C" w:rsidRPr="00D810AE" w:rsidRDefault="00654C45"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lastRenderedPageBreak/>
              <w:t xml:space="preserve">OSW-H2: Submit 1 journal article on the significance of high frequency </w:t>
            </w:r>
            <w:r w:rsidR="007E3D55">
              <w:rPr>
                <w:rFonts w:ascii="Arial" w:hAnsi="Arial" w:cs="Arial"/>
                <w:sz w:val="20"/>
                <w:szCs w:val="20"/>
              </w:rPr>
              <w:t xml:space="preserve">electrolyzer </w:t>
            </w:r>
            <w:r>
              <w:rPr>
                <w:rFonts w:ascii="Arial" w:hAnsi="Arial" w:cs="Arial"/>
                <w:sz w:val="20"/>
                <w:szCs w:val="20"/>
              </w:rPr>
              <w:t xml:space="preserve">data </w:t>
            </w:r>
            <w:r w:rsidR="007E3D55">
              <w:rPr>
                <w:rFonts w:ascii="Arial" w:hAnsi="Arial" w:cs="Arial"/>
                <w:sz w:val="20"/>
                <w:szCs w:val="20"/>
              </w:rPr>
              <w:t>on micro-grid integration</w:t>
            </w:r>
          </w:p>
        </w:tc>
      </w:tr>
      <w:tr w:rsidR="00A2327C" w:rsidRPr="00D810AE" w14:paraId="7E364775" w14:textId="77777777" w:rsidTr="0C2CFFAB">
        <w:trPr>
          <w:trHeight w:val="449"/>
        </w:trPr>
        <w:tc>
          <w:tcPr>
            <w:tcW w:w="10935" w:type="dxa"/>
            <w:gridSpan w:val="5"/>
            <w:shd w:val="clear" w:color="auto" w:fill="auto"/>
          </w:tcPr>
          <w:p w14:paraId="128E754A" w14:textId="2483A0EB" w:rsidR="00A2327C" w:rsidRPr="00D810AE" w:rsidRDefault="007E3D55"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Sign MOU with Kyushu University for closer collaboration on component reliability</w:t>
            </w:r>
          </w:p>
        </w:tc>
      </w:tr>
      <w:tr w:rsidR="00A2327C" w:rsidRPr="00D810AE" w14:paraId="236F21F2" w14:textId="77777777" w:rsidTr="0C2CFFAB">
        <w:trPr>
          <w:trHeight w:val="530"/>
        </w:trPr>
        <w:tc>
          <w:tcPr>
            <w:tcW w:w="10935" w:type="dxa"/>
            <w:gridSpan w:val="5"/>
            <w:shd w:val="clear" w:color="auto" w:fill="auto"/>
          </w:tcPr>
          <w:p w14:paraId="036060D3" w14:textId="33BC15E7" w:rsidR="00A2327C" w:rsidRPr="00D810AE" w:rsidRDefault="007E3D55"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Collaborate with Kevin Hartmann on developing component lifecycle testing at ESIF</w:t>
            </w:r>
          </w:p>
        </w:tc>
      </w:tr>
      <w:tr w:rsidR="00A2327C" w:rsidRPr="00D810AE" w14:paraId="405AED67" w14:textId="77777777" w:rsidTr="0C2CFFAB">
        <w:trPr>
          <w:trHeight w:val="360"/>
        </w:trPr>
        <w:tc>
          <w:tcPr>
            <w:tcW w:w="10935" w:type="dxa"/>
            <w:gridSpan w:val="5"/>
            <w:shd w:val="clear" w:color="auto" w:fill="BFBFBF" w:themeFill="background1" w:themeFillShade="BF"/>
            <w:vAlign w:val="center"/>
          </w:tcPr>
          <w:p w14:paraId="79760997" w14:textId="60908F61" w:rsidR="00A2327C" w:rsidRPr="00D810AE" w:rsidRDefault="00A2327C"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sidR="00DF7190">
              <w:rPr>
                <w:rFonts w:ascii="Arial" w:hAnsi="Arial" w:cs="Arial"/>
                <w:b/>
                <w:sz w:val="24"/>
                <w:szCs w:val="24"/>
              </w:rPr>
              <w:t xml:space="preserve"> </w:t>
            </w:r>
            <w:r w:rsidR="0083298D" w:rsidRPr="0096054C">
              <w:rPr>
                <w:rFonts w:ascii="Arial" w:hAnsi="Arial" w:cs="Arial"/>
                <w:sz w:val="20"/>
                <w:szCs w:val="20"/>
              </w:rPr>
              <w:t>List skills, knowledge, or attributes that need to be developed or strengthened.</w:t>
            </w:r>
          </w:p>
        </w:tc>
      </w:tr>
      <w:tr w:rsidR="00A2327C" w:rsidRPr="00D810AE" w14:paraId="2034AACF" w14:textId="77777777" w:rsidTr="0C2CFFAB">
        <w:trPr>
          <w:trHeight w:val="1034"/>
        </w:trPr>
        <w:tc>
          <w:tcPr>
            <w:tcW w:w="10935" w:type="dxa"/>
            <w:gridSpan w:val="5"/>
            <w:shd w:val="clear" w:color="auto" w:fill="auto"/>
          </w:tcPr>
          <w:p w14:paraId="15BB4E59" w14:textId="70C44458" w:rsidR="007E3D55" w:rsidRPr="007E3D55" w:rsidRDefault="007E3D55" w:rsidP="007E3D55">
            <w:pPr>
              <w:pStyle w:val="ListParagraph"/>
              <w:numPr>
                <w:ilvl w:val="0"/>
                <w:numId w:val="17"/>
              </w:numPr>
              <w:tabs>
                <w:tab w:val="left" w:pos="1080"/>
              </w:tabs>
              <w:rPr>
                <w:rFonts w:ascii="Arial" w:hAnsi="Arial" w:cs="Arial"/>
                <w:sz w:val="20"/>
                <w:szCs w:val="20"/>
              </w:rPr>
            </w:pPr>
            <w:r w:rsidRPr="007E3D55">
              <w:rPr>
                <w:rFonts w:ascii="Arial" w:hAnsi="Arial" w:cs="Arial"/>
                <w:sz w:val="20"/>
                <w:szCs w:val="20"/>
              </w:rPr>
              <w:t>Write more, with clarity and purpose.</w:t>
            </w:r>
          </w:p>
          <w:p w14:paraId="5E6639CC" w14:textId="23E98390" w:rsidR="007E3D55" w:rsidRPr="007E3D55" w:rsidRDefault="007E3D55" w:rsidP="007E3D55">
            <w:pPr>
              <w:pStyle w:val="ListParagraph"/>
              <w:numPr>
                <w:ilvl w:val="0"/>
                <w:numId w:val="17"/>
              </w:numPr>
              <w:tabs>
                <w:tab w:val="left" w:pos="1080"/>
              </w:tabs>
              <w:rPr>
                <w:rFonts w:ascii="Arial" w:hAnsi="Arial" w:cs="Arial"/>
                <w:sz w:val="20"/>
                <w:szCs w:val="20"/>
              </w:rPr>
            </w:pPr>
            <w:r w:rsidRPr="007E3D55">
              <w:rPr>
                <w:rFonts w:ascii="Arial" w:hAnsi="Arial" w:cs="Arial"/>
                <w:sz w:val="20"/>
                <w:szCs w:val="20"/>
              </w:rPr>
              <w:t>Identify priority tasks and focus, say no more.</w:t>
            </w:r>
          </w:p>
          <w:p w14:paraId="7B525285" w14:textId="3432BF27" w:rsidR="007E3D55" w:rsidRPr="007E3D55" w:rsidRDefault="007E3D55" w:rsidP="007E3D55">
            <w:pPr>
              <w:pStyle w:val="ListParagraph"/>
              <w:numPr>
                <w:ilvl w:val="0"/>
                <w:numId w:val="17"/>
              </w:numPr>
              <w:tabs>
                <w:tab w:val="left" w:pos="1080"/>
              </w:tabs>
              <w:rPr>
                <w:rFonts w:ascii="Arial" w:hAnsi="Arial" w:cs="Arial"/>
                <w:sz w:val="20"/>
                <w:szCs w:val="20"/>
              </w:rPr>
            </w:pPr>
            <w:r>
              <w:rPr>
                <w:rFonts w:ascii="Arial" w:hAnsi="Arial" w:cs="Arial"/>
                <w:sz w:val="20"/>
                <w:szCs w:val="20"/>
              </w:rPr>
              <w:t>Work on mentoring skills.</w:t>
            </w:r>
          </w:p>
        </w:tc>
      </w:tr>
      <w:tr w:rsidR="00A2327C" w:rsidRPr="00D810AE" w14:paraId="7B58EC4E" w14:textId="77777777" w:rsidTr="0C2CFFAB">
        <w:trPr>
          <w:trHeight w:val="360"/>
        </w:trPr>
        <w:tc>
          <w:tcPr>
            <w:tcW w:w="10935" w:type="dxa"/>
            <w:gridSpan w:val="5"/>
            <w:shd w:val="clear" w:color="auto" w:fill="BFBFBF" w:themeFill="background1" w:themeFillShade="BF"/>
            <w:vAlign w:val="center"/>
          </w:tcPr>
          <w:p w14:paraId="1F898FA8" w14:textId="56919F99" w:rsidR="00A2327C" w:rsidRPr="00D810AE" w:rsidRDefault="00A2327C"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sidR="00DF7190">
              <w:rPr>
                <w:rFonts w:ascii="Arial" w:hAnsi="Arial" w:cs="Arial"/>
                <w:b/>
                <w:sz w:val="24"/>
                <w:szCs w:val="24"/>
              </w:rPr>
              <w:t xml:space="preserve"> </w:t>
            </w:r>
          </w:p>
        </w:tc>
      </w:tr>
      <w:tr w:rsidR="00A2327C" w:rsidRPr="00D810AE" w14:paraId="5B368DBF" w14:textId="77777777" w:rsidTr="0C2CFFAB">
        <w:trPr>
          <w:trHeight w:val="1583"/>
        </w:trPr>
        <w:tc>
          <w:tcPr>
            <w:tcW w:w="10935" w:type="dxa"/>
            <w:gridSpan w:val="5"/>
            <w:shd w:val="clear" w:color="auto" w:fill="auto"/>
          </w:tcPr>
          <w:p w14:paraId="2FC281D4" w14:textId="77777777" w:rsidR="006A7CD4" w:rsidRPr="00D810AE" w:rsidRDefault="006A7CD4" w:rsidP="001722C1">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719"/>
            </w:tblGrid>
            <w:tr w:rsidR="006A7CD4" w:rsidRPr="00D810AE" w14:paraId="4A2F3D44" w14:textId="77777777" w:rsidTr="0C2CFFAB">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6A7CD4" w:rsidRPr="00D810AE" w14:paraId="2DCC0E98" w14:textId="77777777" w:rsidTr="0C2CFFAB">
                    <w:trPr>
                      <w:trHeight w:val="489"/>
                    </w:trPr>
                    <w:tc>
                      <w:tcPr>
                        <w:tcW w:w="4639" w:type="dxa"/>
                        <w:shd w:val="clear" w:color="auto" w:fill="auto"/>
                        <w:vAlign w:val="center"/>
                      </w:tcPr>
                      <w:p w14:paraId="53FB8020" w14:textId="47BE41A3" w:rsidR="006A7CD4" w:rsidRPr="00D810AE" w:rsidRDefault="0C2CFFAB" w:rsidP="0C2CFFAB">
                        <w:pPr>
                          <w:spacing w:after="0" w:line="240" w:lineRule="auto"/>
                          <w:jc w:val="center"/>
                          <w:rPr>
                            <w:rFonts w:ascii="Arial" w:hAnsi="Arial" w:cs="Arial"/>
                            <w:b/>
                            <w:bCs/>
                            <w:sz w:val="24"/>
                            <w:szCs w:val="24"/>
                          </w:rPr>
                        </w:pPr>
                        <w:r w:rsidRPr="0C2CFFAB">
                          <w:rPr>
                            <w:rFonts w:ascii="Arial" w:hAnsi="Arial" w:cs="Arial"/>
                            <w:b/>
                            <w:bCs/>
                            <w:sz w:val="24"/>
                            <w:szCs w:val="24"/>
                          </w:rPr>
                          <w:t>Successfully meets or exceeds expectations</w:t>
                        </w:r>
                      </w:p>
                      <w:p w14:paraId="726F2ADB" w14:textId="77777777" w:rsidR="006A7CD4" w:rsidRPr="00D810AE" w:rsidRDefault="006A7CD4" w:rsidP="001722C1">
                        <w:pPr>
                          <w:spacing w:after="0" w:line="240" w:lineRule="auto"/>
                          <w:jc w:val="center"/>
                          <w:rPr>
                            <w:rFonts w:ascii="Arial" w:hAnsi="Arial" w:cs="Arial"/>
                            <w:b/>
                            <w:sz w:val="24"/>
                            <w:szCs w:val="24"/>
                          </w:rPr>
                        </w:pPr>
                      </w:p>
                    </w:tc>
                  </w:tr>
                </w:tbl>
                <w:p w14:paraId="08589A97" w14:textId="6CD0F1F8" w:rsidR="006A7CD4" w:rsidRPr="00D810AE" w:rsidRDefault="006A7CD4" w:rsidP="001722C1">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6A7CD4" w:rsidRPr="00D810AE" w:rsidRDefault="006A7CD4" w:rsidP="001722C1">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E3200D" w:rsidRPr="00D810AE" w14:paraId="01532186" w14:textId="77777777" w:rsidTr="00E3200D">
              <w:tc>
                <w:tcPr>
                  <w:tcW w:w="1170" w:type="dxa"/>
                  <w:shd w:val="clear" w:color="auto" w:fill="auto"/>
                </w:tcPr>
                <w:p w14:paraId="7F0279D7" w14:textId="77777777" w:rsidR="006A7CD4" w:rsidRPr="00D810AE" w:rsidRDefault="006A7CD4" w:rsidP="001722C1">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5E6C9F" w:rsidRPr="00D810AE" w:rsidRDefault="006A7CD4" w:rsidP="005E6C9F">
                  <w:pPr>
                    <w:spacing w:after="0" w:line="240" w:lineRule="auto"/>
                    <w:rPr>
                      <w:rFonts w:ascii="Arial" w:hAnsi="Arial" w:cs="Arial"/>
                    </w:rPr>
                  </w:pPr>
                  <w:r w:rsidRPr="00D810AE">
                    <w:rPr>
                      <w:rFonts w:ascii="Arial" w:hAnsi="Arial" w:cs="Arial"/>
                    </w:rPr>
                    <w:t xml:space="preserve">Type “Yes” in the box to the left if a </w:t>
                  </w:r>
                  <w:r w:rsidR="009956FF" w:rsidRPr="00D810AE">
                    <w:rPr>
                      <w:rFonts w:ascii="Arial" w:hAnsi="Arial" w:cs="Arial"/>
                    </w:rPr>
                    <w:t>c</w:t>
                  </w:r>
                  <w:r w:rsidRPr="00D810AE">
                    <w:rPr>
                      <w:rFonts w:ascii="Arial" w:hAnsi="Arial" w:cs="Arial"/>
                    </w:rPr>
                    <w:t xml:space="preserve">orrective </w:t>
                  </w:r>
                  <w:r w:rsidR="009956FF" w:rsidRPr="00D810AE">
                    <w:rPr>
                      <w:rFonts w:ascii="Arial" w:hAnsi="Arial" w:cs="Arial"/>
                    </w:rPr>
                    <w:t>a</w:t>
                  </w:r>
                  <w:r w:rsidRPr="00D810AE">
                    <w:rPr>
                      <w:rFonts w:ascii="Arial" w:hAnsi="Arial" w:cs="Arial"/>
                    </w:rPr>
                    <w:t xml:space="preserve">ction </w:t>
                  </w:r>
                  <w:r w:rsidR="009956FF" w:rsidRPr="00D810AE">
                    <w:rPr>
                      <w:rFonts w:ascii="Arial" w:hAnsi="Arial" w:cs="Arial"/>
                    </w:rPr>
                    <w:t>p</w:t>
                  </w:r>
                  <w:r w:rsidRPr="00D810AE">
                    <w:rPr>
                      <w:rFonts w:ascii="Arial" w:hAnsi="Arial" w:cs="Arial"/>
                    </w:rPr>
                    <w:t>lan is required.</w:t>
                  </w:r>
                </w:p>
              </w:tc>
            </w:tr>
          </w:tbl>
          <w:p w14:paraId="6D39BDE3" w14:textId="77777777" w:rsidR="006A7CD4" w:rsidRPr="00D810AE" w:rsidRDefault="006A7CD4" w:rsidP="001722C1">
            <w:pPr>
              <w:spacing w:after="0" w:line="240" w:lineRule="auto"/>
              <w:rPr>
                <w:rFonts w:ascii="Arial" w:hAnsi="Arial" w:cs="Arial"/>
                <w:b/>
                <w:sz w:val="16"/>
                <w:szCs w:val="16"/>
              </w:rPr>
            </w:pPr>
          </w:p>
        </w:tc>
      </w:tr>
      <w:tr w:rsidR="006A7CD4" w:rsidRPr="00D810AE" w14:paraId="3C207DAB" w14:textId="77777777" w:rsidTr="0C2CFFAB">
        <w:trPr>
          <w:trHeight w:val="360"/>
        </w:trPr>
        <w:tc>
          <w:tcPr>
            <w:tcW w:w="10935" w:type="dxa"/>
            <w:gridSpan w:val="5"/>
            <w:shd w:val="clear" w:color="auto" w:fill="D9D9D9" w:themeFill="background1" w:themeFillShade="D9"/>
            <w:vAlign w:val="center"/>
          </w:tcPr>
          <w:p w14:paraId="56E8CD80" w14:textId="77777777" w:rsidR="006A7CD4" w:rsidRPr="00D810AE" w:rsidRDefault="006A7CD4" w:rsidP="001722C1">
            <w:pPr>
              <w:spacing w:after="0" w:line="240" w:lineRule="auto"/>
              <w:rPr>
                <w:rFonts w:ascii="Arial" w:hAnsi="Arial" w:cs="Arial"/>
                <w:b/>
              </w:rPr>
            </w:pPr>
            <w:r w:rsidRPr="00D810AE">
              <w:rPr>
                <w:rFonts w:ascii="Arial" w:hAnsi="Arial" w:cs="Arial"/>
                <w:b/>
              </w:rPr>
              <w:t>Performance Rating Definitions:</w:t>
            </w:r>
          </w:p>
        </w:tc>
      </w:tr>
      <w:tr w:rsidR="006A7CD4" w:rsidRPr="00D810AE" w14:paraId="08AD2888" w14:textId="77777777" w:rsidTr="0C2CFFAB">
        <w:tc>
          <w:tcPr>
            <w:tcW w:w="10935" w:type="dxa"/>
            <w:gridSpan w:val="5"/>
            <w:shd w:val="clear" w:color="auto" w:fill="auto"/>
          </w:tcPr>
          <w:p w14:paraId="4581DE9D" w14:textId="77777777" w:rsidR="006A7CD4" w:rsidRPr="00D810AE" w:rsidRDefault="006A7CD4" w:rsidP="001722C1">
            <w:pPr>
              <w:spacing w:after="0" w:line="240" w:lineRule="auto"/>
              <w:rPr>
                <w:rFonts w:ascii="Tahoma" w:hAnsi="Tahoma" w:cs="Tahoma"/>
                <w:b/>
                <w:bCs/>
                <w:sz w:val="16"/>
                <w:szCs w:val="16"/>
              </w:rPr>
            </w:pPr>
          </w:p>
          <w:p w14:paraId="2246108B" w14:textId="4F71838F" w:rsidR="006A7CD4" w:rsidRPr="00E3200D" w:rsidRDefault="006A7CD4" w:rsidP="001722C1">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on a consistent basis. This rating also applied to an employee who may exhibit workplace behaviors which negatively impact the ability to be effective in </w:t>
            </w:r>
            <w:r w:rsidR="00011E4E" w:rsidRPr="00E3200D">
              <w:rPr>
                <w:rFonts w:ascii="Tahoma" w:hAnsi="Tahoma" w:cs="Tahoma"/>
                <w:sz w:val="20"/>
                <w:szCs w:val="20"/>
              </w:rPr>
              <w:t>their</w:t>
            </w:r>
            <w:r w:rsidRPr="00E3200D">
              <w:rPr>
                <w:rFonts w:ascii="Tahoma" w:hAnsi="Tahoma" w:cs="Tahoma"/>
                <w:sz w:val="20"/>
                <w:szCs w:val="20"/>
              </w:rPr>
              <w:t xml:space="preserve"> role, although goals may be achieved. Additional skill development, commitment, and/or change in behaviors are necessary. This rating describes the employee who may meet only the very minimum position requirements and/or behaviors and change is necessary. The evaluation should detail the changes necessary for improvement to ensure clear expectations are defined. </w:t>
            </w:r>
          </w:p>
          <w:p w14:paraId="74F5605C" w14:textId="77777777" w:rsidR="006A7CD4" w:rsidRPr="00E3200D" w:rsidRDefault="006A7CD4" w:rsidP="001722C1">
            <w:pPr>
              <w:spacing w:after="0" w:line="240" w:lineRule="auto"/>
              <w:rPr>
                <w:rFonts w:cs="Calibri"/>
                <w:color w:val="000000"/>
                <w:sz w:val="16"/>
                <w:szCs w:val="16"/>
              </w:rPr>
            </w:pPr>
          </w:p>
          <w:p w14:paraId="047EAEA6" w14:textId="0B26FE58" w:rsidR="006A7CD4" w:rsidRPr="00D810AE" w:rsidRDefault="006A7CD4" w:rsidP="001722C1">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xml:space="preserve">– Employee is currently successful in </w:t>
            </w:r>
            <w:r w:rsidR="00011E4E" w:rsidRPr="00E3200D">
              <w:rPr>
                <w:rFonts w:ascii="Tahoma" w:hAnsi="Tahoma" w:cs="Tahoma"/>
                <w:sz w:val="20"/>
                <w:szCs w:val="20"/>
              </w:rPr>
              <w:t>their</w:t>
            </w:r>
            <w:r w:rsidRPr="00E3200D">
              <w:rPr>
                <w:rFonts w:ascii="Tahoma" w:hAnsi="Tahoma" w:cs="Tahoma"/>
                <w:sz w:val="20"/>
                <w:szCs w:val="20"/>
              </w:rPr>
              <w:t xml:space="preserve"> role and consistently meets and may frequently exceed the high NREL performance expectations commensurate with </w:t>
            </w:r>
            <w:r w:rsidR="00011E4E" w:rsidRPr="00E3200D">
              <w:rPr>
                <w:rFonts w:ascii="Tahoma" w:hAnsi="Tahoma" w:cs="Tahoma"/>
                <w:sz w:val="20"/>
                <w:szCs w:val="20"/>
              </w:rPr>
              <w:t>their</w:t>
            </w:r>
            <w:r w:rsidRPr="00E3200D">
              <w:rPr>
                <w:rFonts w:ascii="Tahoma" w:hAnsi="Tahoma" w:cs="Tahoma"/>
                <w:sz w:val="20"/>
                <w:szCs w:val="20"/>
              </w:rPr>
              <w:t xml:space="preserve"> position within the laboratory. The expected behaviors include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6A7CD4" w:rsidRPr="00D810AE" w:rsidRDefault="006A7CD4" w:rsidP="001722C1">
            <w:pPr>
              <w:spacing w:after="0" w:line="240" w:lineRule="auto"/>
              <w:rPr>
                <w:rFonts w:cs="Calibri"/>
                <w:color w:val="000000"/>
                <w:sz w:val="16"/>
                <w:szCs w:val="16"/>
              </w:rPr>
            </w:pPr>
          </w:p>
          <w:p w14:paraId="6B5651EA" w14:textId="71F83907" w:rsidR="006A7CD4" w:rsidRPr="00D810AE" w:rsidRDefault="006A7CD4" w:rsidP="001722C1">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 xml:space="preserve">commensurate with their position within the laboratory. The expected behaviors include a high level of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w:t>
            </w:r>
          </w:p>
          <w:p w14:paraId="69915D17" w14:textId="77777777" w:rsidR="006A7CD4" w:rsidRPr="00D810AE" w:rsidRDefault="006A7CD4" w:rsidP="001722C1">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lastRenderedPageBreak/>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7EBAE6" w14:textId="49E9E646" w:rsidR="00611CB2" w:rsidRPr="0096054C" w:rsidRDefault="00754B4C" w:rsidP="005F5D24">
            <w:pPr>
              <w:spacing w:after="0" w:line="240" w:lineRule="auto"/>
              <w:rPr>
                <w:rFonts w:ascii="Arial" w:hAnsi="Arial" w:cs="Arial"/>
                <w:b/>
                <w:sz w:val="20"/>
                <w:szCs w:val="20"/>
              </w:rPr>
            </w:pPr>
            <w:r>
              <w:rPr>
                <w:rFonts w:ascii="Arial" w:hAnsi="Arial" w:cs="Arial"/>
                <w:b/>
                <w:sz w:val="20"/>
                <w:szCs w:val="20"/>
              </w:rPr>
              <w:t>GS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5">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82BB8" w14:textId="3C456A59" w:rsidR="00611CB2" w:rsidRPr="0096054C" w:rsidRDefault="00754B4C" w:rsidP="005F5D24">
            <w:pPr>
              <w:spacing w:after="0" w:line="240" w:lineRule="auto"/>
              <w:rPr>
                <w:rFonts w:ascii="Arial" w:hAnsi="Arial" w:cs="Arial"/>
                <w:b/>
                <w:sz w:val="20"/>
                <w:szCs w:val="20"/>
              </w:rPr>
            </w:pPr>
            <w:r>
              <w:rPr>
                <w:rFonts w:ascii="Arial" w:hAnsi="Arial" w:cs="Arial"/>
                <w:b/>
                <w:sz w:val="20"/>
                <w:szCs w:val="20"/>
              </w:rPr>
              <w:t>GS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6"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528F1" w14:textId="7FA6E613" w:rsidR="00611CB2" w:rsidRPr="0096054C" w:rsidRDefault="00754B4C" w:rsidP="005F5D24">
            <w:pPr>
              <w:spacing w:after="0" w:line="240" w:lineRule="auto"/>
              <w:rPr>
                <w:rFonts w:ascii="Arial" w:hAnsi="Arial" w:cs="Arial"/>
                <w:b/>
                <w:sz w:val="20"/>
                <w:szCs w:val="20"/>
              </w:rPr>
            </w:pPr>
            <w:r>
              <w:rPr>
                <w:rFonts w:ascii="Arial" w:hAnsi="Arial" w:cs="Arial"/>
                <w:b/>
                <w:sz w:val="20"/>
                <w:szCs w:val="20"/>
              </w:rPr>
              <w:t>GS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7"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6B28C6" w14:textId="5434FBC0" w:rsidR="00611CB2" w:rsidRPr="0096054C" w:rsidRDefault="00754B4C" w:rsidP="005F5D24">
            <w:pPr>
              <w:spacing w:after="0" w:line="240" w:lineRule="auto"/>
              <w:rPr>
                <w:rFonts w:ascii="Arial" w:hAnsi="Arial" w:cs="Arial"/>
                <w:b/>
                <w:sz w:val="20"/>
                <w:szCs w:val="20"/>
              </w:rPr>
            </w:pPr>
            <w:r>
              <w:rPr>
                <w:rFonts w:ascii="Arial" w:hAnsi="Arial" w:cs="Arial"/>
                <w:b/>
                <w:sz w:val="20"/>
                <w:szCs w:val="20"/>
              </w:rPr>
              <w:t>GS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5"/>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393F9701" w:rsidR="00C560AF" w:rsidRPr="00D810AE" w:rsidRDefault="00BF3C1B" w:rsidP="005E28D6">
            <w:pPr>
              <w:keepNext/>
              <w:keepLines/>
              <w:spacing w:after="0" w:line="240" w:lineRule="auto"/>
              <w:rPr>
                <w:rFonts w:ascii="Arial" w:hAnsi="Arial" w:cs="Arial"/>
                <w:sz w:val="20"/>
                <w:szCs w:val="20"/>
              </w:rPr>
            </w:pPr>
            <w:r>
              <w:rPr>
                <w:rFonts w:ascii="Arial" w:hAnsi="Arial" w:cs="Arial"/>
                <w:sz w:val="20"/>
                <w:szCs w:val="20"/>
              </w:rPr>
              <w:t>I am trying to grow an area of hydrogen research around field data analysis, component reliability, operational questions. That means exploring opportunities and saying yes to projects to establish relationships and explore how to work more closely with people. I would offer that I should say no sometimes, but I’m also managing $1.5M+ in projects and often finding myself with a lack of support. There is an expectation at my level that I am growing opportunities and bringing in money, not just saying no to what I can’t physically cover with my labor time..</w:t>
            </w: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5"/>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3"/>
        <w:gridCol w:w="5763"/>
        <w:gridCol w:w="268"/>
        <w:gridCol w:w="1500"/>
        <w:gridCol w:w="1518"/>
      </w:tblGrid>
      <w:tr w:rsidR="006A7CD4" w:rsidRPr="00D810AE" w14:paraId="5B985A6A" w14:textId="77777777" w:rsidTr="001722C1">
        <w:trPr>
          <w:trHeight w:val="576"/>
        </w:trPr>
        <w:tc>
          <w:tcPr>
            <w:tcW w:w="1458" w:type="dxa"/>
            <w:tcBorders>
              <w:bottom w:val="single" w:sz="4" w:space="0" w:color="000000"/>
            </w:tcBorders>
            <w:shd w:val="clear" w:color="auto" w:fill="D9D9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cBorders>
            <w:shd w:val="clear" w:color="auto" w:fill="auto"/>
            <w:vAlign w:val="center"/>
          </w:tcPr>
          <w:p w14:paraId="2EF6FF60" w14:textId="5CDDD507" w:rsidR="006A7CD4" w:rsidRPr="00D810AE" w:rsidRDefault="00BF3C1B" w:rsidP="001722C1">
            <w:pPr>
              <w:spacing w:after="0" w:line="240" w:lineRule="auto"/>
              <w:rPr>
                <w:rFonts w:ascii="Arial" w:hAnsi="Arial" w:cs="Arial"/>
                <w:b/>
                <w:sz w:val="20"/>
                <w:szCs w:val="20"/>
              </w:rPr>
            </w:pPr>
            <w:r>
              <w:rPr>
                <w:rFonts w:ascii="Arial" w:hAnsi="Arial" w:cs="Arial"/>
                <w:b/>
                <w:sz w:val="20"/>
                <w:szCs w:val="20"/>
              </w:rPr>
              <w:t>Genevieve Saur</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cBorders>
            <w:shd w:val="clear" w:color="auto" w:fill="D9D9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cBorders>
            <w:shd w:val="clear" w:color="auto" w:fill="auto"/>
            <w:vAlign w:val="center"/>
          </w:tcPr>
          <w:p w14:paraId="5BE42CD2" w14:textId="4590BB2C" w:rsidR="006A7CD4" w:rsidRPr="00D810AE" w:rsidRDefault="00BF3C1B" w:rsidP="001722C1">
            <w:pPr>
              <w:spacing w:after="0" w:line="240" w:lineRule="auto"/>
              <w:rPr>
                <w:rFonts w:ascii="Arial" w:hAnsi="Arial" w:cs="Arial"/>
                <w:b/>
                <w:sz w:val="20"/>
                <w:szCs w:val="20"/>
              </w:rPr>
            </w:pPr>
            <w:r>
              <w:rPr>
                <w:rFonts w:ascii="Arial" w:hAnsi="Arial" w:cs="Arial"/>
                <w:b/>
                <w:sz w:val="20"/>
                <w:szCs w:val="20"/>
              </w:rPr>
              <w:t>12/12/2024</w:t>
            </w:r>
          </w:p>
        </w:tc>
      </w:tr>
      <w:tr w:rsidR="006A7CD4" w:rsidRPr="00D810AE" w14:paraId="1CE9E301" w14:textId="77777777" w:rsidTr="001722C1">
        <w:trPr>
          <w:trHeight w:val="144"/>
        </w:trPr>
        <w:tc>
          <w:tcPr>
            <w:tcW w:w="1458" w:type="dxa"/>
            <w:tcBorders>
              <w:left w:val="nil"/>
              <w:bottom w:val="single" w:sz="4" w:space="0" w:color="000000"/>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001722C1">
        <w:trPr>
          <w:trHeight w:val="576"/>
        </w:trPr>
        <w:tc>
          <w:tcPr>
            <w:tcW w:w="1458" w:type="dxa"/>
            <w:shd w:val="clear" w:color="auto" w:fill="D9D9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778D7486" w:rsidR="006A7CD4" w:rsidRPr="00D810AE" w:rsidRDefault="003D13E7" w:rsidP="001722C1">
            <w:pPr>
              <w:spacing w:after="0" w:line="240" w:lineRule="auto"/>
              <w:rPr>
                <w:rFonts w:ascii="Arial" w:hAnsi="Arial" w:cs="Arial"/>
                <w:b/>
                <w:sz w:val="20"/>
                <w:szCs w:val="20"/>
              </w:rPr>
            </w:pPr>
            <w:r>
              <w:rPr>
                <w:rFonts w:ascii="Arial" w:hAnsi="Arial" w:cs="Arial"/>
                <w:b/>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1B0EC18B" w:rsidR="006A7CD4" w:rsidRPr="00D810AE" w:rsidRDefault="003D13E7" w:rsidP="001722C1">
            <w:pPr>
              <w:spacing w:after="0" w:line="240" w:lineRule="auto"/>
              <w:rPr>
                <w:rFonts w:ascii="Arial" w:hAnsi="Arial" w:cs="Arial"/>
                <w:b/>
                <w:sz w:val="20"/>
                <w:szCs w:val="20"/>
              </w:rPr>
            </w:pPr>
            <w:r>
              <w:rPr>
                <w:rFonts w:ascii="Arial" w:hAnsi="Arial" w:cs="Arial"/>
                <w:b/>
                <w:sz w:val="20"/>
                <w:szCs w:val="20"/>
              </w:rPr>
              <w:t>11/11/2024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55646648" w:rsidR="006A7CD4" w:rsidRPr="00D810AE" w:rsidRDefault="00B72612"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07B4BDC3" wp14:editId="6FA5A9BF">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3C2196DE" w:rsidR="006A7CD4" w:rsidRPr="001722C1" w:rsidRDefault="00B72612"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9"/>
      <w:footerReference w:type="default" r:id="rId20"/>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9CB37" w14:textId="77777777" w:rsidR="000867CE" w:rsidRDefault="000867CE" w:rsidP="008D131B">
      <w:pPr>
        <w:spacing w:after="0" w:line="240" w:lineRule="auto"/>
      </w:pPr>
      <w:r>
        <w:separator/>
      </w:r>
    </w:p>
  </w:endnote>
  <w:endnote w:type="continuationSeparator" w:id="0">
    <w:p w14:paraId="2E55D557" w14:textId="77777777" w:rsidR="000867CE" w:rsidRDefault="000867CE"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1D2F3" w14:textId="77777777" w:rsidR="000867CE" w:rsidRDefault="000867CE" w:rsidP="008D131B">
      <w:pPr>
        <w:spacing w:after="0" w:line="240" w:lineRule="auto"/>
      </w:pPr>
      <w:r>
        <w:separator/>
      </w:r>
    </w:p>
  </w:footnote>
  <w:footnote w:type="continuationSeparator" w:id="0">
    <w:p w14:paraId="3F88D3D6" w14:textId="77777777" w:rsidR="000867CE" w:rsidRDefault="000867CE"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13B21"/>
    <w:multiLevelType w:val="hybridMultilevel"/>
    <w:tmpl w:val="5F26AD32"/>
    <w:lvl w:ilvl="0" w:tplc="D5221CD6">
      <w:start w:val="1"/>
      <w:numFmt w:val="bullet"/>
      <w:lvlText w:val=""/>
      <w:lvlJc w:val="left"/>
      <w:pPr>
        <w:ind w:left="720" w:hanging="360"/>
      </w:pPr>
      <w:rPr>
        <w:rFonts w:ascii="Symbol" w:hAnsi="Symbol" w:hint="default"/>
      </w:rPr>
    </w:lvl>
    <w:lvl w:ilvl="1" w:tplc="B4C43238">
      <w:start w:val="1"/>
      <w:numFmt w:val="bullet"/>
      <w:lvlText w:val="o"/>
      <w:lvlJc w:val="left"/>
      <w:pPr>
        <w:ind w:left="1440" w:hanging="360"/>
      </w:pPr>
      <w:rPr>
        <w:rFonts w:ascii="Courier New" w:hAnsi="Courier New" w:hint="default"/>
      </w:rPr>
    </w:lvl>
    <w:lvl w:ilvl="2" w:tplc="1F765CDC">
      <w:start w:val="1"/>
      <w:numFmt w:val="bullet"/>
      <w:lvlText w:val=""/>
      <w:lvlJc w:val="left"/>
      <w:pPr>
        <w:ind w:left="2160" w:hanging="360"/>
      </w:pPr>
      <w:rPr>
        <w:rFonts w:ascii="Wingdings" w:hAnsi="Wingdings" w:hint="default"/>
      </w:rPr>
    </w:lvl>
    <w:lvl w:ilvl="3" w:tplc="F6467534">
      <w:start w:val="1"/>
      <w:numFmt w:val="bullet"/>
      <w:lvlText w:val=""/>
      <w:lvlJc w:val="left"/>
      <w:pPr>
        <w:ind w:left="2880" w:hanging="360"/>
      </w:pPr>
      <w:rPr>
        <w:rFonts w:ascii="Symbol" w:hAnsi="Symbol" w:hint="default"/>
      </w:rPr>
    </w:lvl>
    <w:lvl w:ilvl="4" w:tplc="DD80382C">
      <w:start w:val="1"/>
      <w:numFmt w:val="bullet"/>
      <w:lvlText w:val="o"/>
      <w:lvlJc w:val="left"/>
      <w:pPr>
        <w:ind w:left="3600" w:hanging="360"/>
      </w:pPr>
      <w:rPr>
        <w:rFonts w:ascii="Courier New" w:hAnsi="Courier New" w:hint="default"/>
      </w:rPr>
    </w:lvl>
    <w:lvl w:ilvl="5" w:tplc="6C16F2A0">
      <w:start w:val="1"/>
      <w:numFmt w:val="bullet"/>
      <w:lvlText w:val=""/>
      <w:lvlJc w:val="left"/>
      <w:pPr>
        <w:ind w:left="4320" w:hanging="360"/>
      </w:pPr>
      <w:rPr>
        <w:rFonts w:ascii="Wingdings" w:hAnsi="Wingdings" w:hint="default"/>
      </w:rPr>
    </w:lvl>
    <w:lvl w:ilvl="6" w:tplc="67F00378">
      <w:start w:val="1"/>
      <w:numFmt w:val="bullet"/>
      <w:lvlText w:val=""/>
      <w:lvlJc w:val="left"/>
      <w:pPr>
        <w:ind w:left="5040" w:hanging="360"/>
      </w:pPr>
      <w:rPr>
        <w:rFonts w:ascii="Symbol" w:hAnsi="Symbol" w:hint="default"/>
      </w:rPr>
    </w:lvl>
    <w:lvl w:ilvl="7" w:tplc="939E83DA">
      <w:start w:val="1"/>
      <w:numFmt w:val="bullet"/>
      <w:lvlText w:val="o"/>
      <w:lvlJc w:val="left"/>
      <w:pPr>
        <w:ind w:left="5760" w:hanging="360"/>
      </w:pPr>
      <w:rPr>
        <w:rFonts w:ascii="Courier New" w:hAnsi="Courier New" w:hint="default"/>
      </w:rPr>
    </w:lvl>
    <w:lvl w:ilvl="8" w:tplc="E3E437E0">
      <w:start w:val="1"/>
      <w:numFmt w:val="bullet"/>
      <w:lvlText w:val=""/>
      <w:lvlJc w:val="left"/>
      <w:pPr>
        <w:ind w:left="6480" w:hanging="360"/>
      </w:pPr>
      <w:rPr>
        <w:rFonts w:ascii="Wingdings" w:hAnsi="Wingdings" w:hint="default"/>
      </w:rPr>
    </w:lvl>
  </w:abstractNum>
  <w:abstractNum w:abstractNumId="3" w15:restartNumberingAfterBreak="0">
    <w:nsid w:val="264D7FC5"/>
    <w:multiLevelType w:val="multilevel"/>
    <w:tmpl w:val="F72A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15D4E"/>
    <w:multiLevelType w:val="multilevel"/>
    <w:tmpl w:val="A042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F06CE"/>
    <w:multiLevelType w:val="hybridMultilevel"/>
    <w:tmpl w:val="8D46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D6F1D"/>
    <w:multiLevelType w:val="hybridMultilevel"/>
    <w:tmpl w:val="9642040A"/>
    <w:lvl w:ilvl="0" w:tplc="553E97A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57077"/>
    <w:multiLevelType w:val="hybridMultilevel"/>
    <w:tmpl w:val="C3BE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111F2"/>
    <w:multiLevelType w:val="hybridMultilevel"/>
    <w:tmpl w:val="4CEC6446"/>
    <w:lvl w:ilvl="0" w:tplc="4D0E850A">
      <w:start w:val="1"/>
      <w:numFmt w:val="bullet"/>
      <w:lvlText w:val=""/>
      <w:lvlJc w:val="left"/>
      <w:pPr>
        <w:ind w:left="720" w:hanging="360"/>
      </w:pPr>
      <w:rPr>
        <w:rFonts w:ascii="Symbol" w:hAnsi="Symbol" w:hint="default"/>
      </w:rPr>
    </w:lvl>
    <w:lvl w:ilvl="1" w:tplc="6F30FC8E">
      <w:start w:val="1"/>
      <w:numFmt w:val="bullet"/>
      <w:lvlText w:val="o"/>
      <w:lvlJc w:val="left"/>
      <w:pPr>
        <w:ind w:left="1440" w:hanging="360"/>
      </w:pPr>
      <w:rPr>
        <w:rFonts w:ascii="Courier New" w:hAnsi="Courier New" w:hint="default"/>
      </w:rPr>
    </w:lvl>
    <w:lvl w:ilvl="2" w:tplc="5BCC3598">
      <w:start w:val="1"/>
      <w:numFmt w:val="bullet"/>
      <w:lvlText w:val=""/>
      <w:lvlJc w:val="left"/>
      <w:pPr>
        <w:ind w:left="2160" w:hanging="360"/>
      </w:pPr>
      <w:rPr>
        <w:rFonts w:ascii="Wingdings" w:hAnsi="Wingdings" w:hint="default"/>
      </w:rPr>
    </w:lvl>
    <w:lvl w:ilvl="3" w:tplc="66EA8AD2">
      <w:start w:val="1"/>
      <w:numFmt w:val="bullet"/>
      <w:lvlText w:val=""/>
      <w:lvlJc w:val="left"/>
      <w:pPr>
        <w:ind w:left="2880" w:hanging="360"/>
      </w:pPr>
      <w:rPr>
        <w:rFonts w:ascii="Symbol" w:hAnsi="Symbol" w:hint="default"/>
      </w:rPr>
    </w:lvl>
    <w:lvl w:ilvl="4" w:tplc="4412B318">
      <w:start w:val="1"/>
      <w:numFmt w:val="bullet"/>
      <w:lvlText w:val="o"/>
      <w:lvlJc w:val="left"/>
      <w:pPr>
        <w:ind w:left="3600" w:hanging="360"/>
      </w:pPr>
      <w:rPr>
        <w:rFonts w:ascii="Courier New" w:hAnsi="Courier New" w:hint="default"/>
      </w:rPr>
    </w:lvl>
    <w:lvl w:ilvl="5" w:tplc="42C287C0">
      <w:start w:val="1"/>
      <w:numFmt w:val="bullet"/>
      <w:lvlText w:val=""/>
      <w:lvlJc w:val="left"/>
      <w:pPr>
        <w:ind w:left="4320" w:hanging="360"/>
      </w:pPr>
      <w:rPr>
        <w:rFonts w:ascii="Wingdings" w:hAnsi="Wingdings" w:hint="default"/>
      </w:rPr>
    </w:lvl>
    <w:lvl w:ilvl="6" w:tplc="38F446E2">
      <w:start w:val="1"/>
      <w:numFmt w:val="bullet"/>
      <w:lvlText w:val=""/>
      <w:lvlJc w:val="left"/>
      <w:pPr>
        <w:ind w:left="5040" w:hanging="360"/>
      </w:pPr>
      <w:rPr>
        <w:rFonts w:ascii="Symbol" w:hAnsi="Symbol" w:hint="default"/>
      </w:rPr>
    </w:lvl>
    <w:lvl w:ilvl="7" w:tplc="AA9E0872">
      <w:start w:val="1"/>
      <w:numFmt w:val="bullet"/>
      <w:lvlText w:val="o"/>
      <w:lvlJc w:val="left"/>
      <w:pPr>
        <w:ind w:left="5760" w:hanging="360"/>
      </w:pPr>
      <w:rPr>
        <w:rFonts w:ascii="Courier New" w:hAnsi="Courier New" w:hint="default"/>
      </w:rPr>
    </w:lvl>
    <w:lvl w:ilvl="8" w:tplc="41F4B4DA">
      <w:start w:val="1"/>
      <w:numFmt w:val="bullet"/>
      <w:lvlText w:val=""/>
      <w:lvlJc w:val="left"/>
      <w:pPr>
        <w:ind w:left="6480" w:hanging="360"/>
      </w:pPr>
      <w:rPr>
        <w:rFonts w:ascii="Wingdings" w:hAnsi="Wingdings" w:hint="default"/>
      </w:rPr>
    </w:lvl>
  </w:abstractNum>
  <w:abstractNum w:abstractNumId="12"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C7D04"/>
    <w:multiLevelType w:val="multilevel"/>
    <w:tmpl w:val="B282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5397119">
    <w:abstractNumId w:val="2"/>
  </w:num>
  <w:num w:numId="2" w16cid:durableId="48312368">
    <w:abstractNumId w:val="11"/>
  </w:num>
  <w:num w:numId="3" w16cid:durableId="10957617">
    <w:abstractNumId w:val="14"/>
  </w:num>
  <w:num w:numId="4" w16cid:durableId="842010074">
    <w:abstractNumId w:val="16"/>
  </w:num>
  <w:num w:numId="5" w16cid:durableId="662589125">
    <w:abstractNumId w:val="0"/>
  </w:num>
  <w:num w:numId="6" w16cid:durableId="1563910409">
    <w:abstractNumId w:val="13"/>
  </w:num>
  <w:num w:numId="7" w16cid:durableId="375397291">
    <w:abstractNumId w:val="12"/>
  </w:num>
  <w:num w:numId="8" w16cid:durableId="2040815348">
    <w:abstractNumId w:val="4"/>
  </w:num>
  <w:num w:numId="9" w16cid:durableId="1713338976">
    <w:abstractNumId w:val="1"/>
  </w:num>
  <w:num w:numId="10" w16cid:durableId="1743209706">
    <w:abstractNumId w:val="5"/>
  </w:num>
  <w:num w:numId="11" w16cid:durableId="1068724239">
    <w:abstractNumId w:val="7"/>
  </w:num>
  <w:num w:numId="12" w16cid:durableId="11731498">
    <w:abstractNumId w:val="8"/>
  </w:num>
  <w:num w:numId="13" w16cid:durableId="740103915">
    <w:abstractNumId w:val="9"/>
  </w:num>
  <w:num w:numId="14" w16cid:durableId="792594211">
    <w:abstractNumId w:val="3"/>
  </w:num>
  <w:num w:numId="15" w16cid:durableId="655231939">
    <w:abstractNumId w:val="15"/>
  </w:num>
  <w:num w:numId="16" w16cid:durableId="734595152">
    <w:abstractNumId w:val="6"/>
  </w:num>
  <w:num w:numId="17" w16cid:durableId="1783765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1E4E"/>
    <w:rsid w:val="00013873"/>
    <w:rsid w:val="00025DAF"/>
    <w:rsid w:val="000264B2"/>
    <w:rsid w:val="00034000"/>
    <w:rsid w:val="000341F8"/>
    <w:rsid w:val="000443FE"/>
    <w:rsid w:val="0004764A"/>
    <w:rsid w:val="00050F7D"/>
    <w:rsid w:val="000517BF"/>
    <w:rsid w:val="000532A8"/>
    <w:rsid w:val="00055F91"/>
    <w:rsid w:val="000646D4"/>
    <w:rsid w:val="0006547C"/>
    <w:rsid w:val="00065547"/>
    <w:rsid w:val="0006699C"/>
    <w:rsid w:val="000843C6"/>
    <w:rsid w:val="00084EA0"/>
    <w:rsid w:val="000867CE"/>
    <w:rsid w:val="00091D2B"/>
    <w:rsid w:val="000A22A1"/>
    <w:rsid w:val="000B39A6"/>
    <w:rsid w:val="000B3BB5"/>
    <w:rsid w:val="000B783A"/>
    <w:rsid w:val="000B7E3D"/>
    <w:rsid w:val="000C2164"/>
    <w:rsid w:val="000C45FE"/>
    <w:rsid w:val="000D7F3C"/>
    <w:rsid w:val="000E6B4F"/>
    <w:rsid w:val="00103DC9"/>
    <w:rsid w:val="001050F8"/>
    <w:rsid w:val="00105AF4"/>
    <w:rsid w:val="00107989"/>
    <w:rsid w:val="0012562F"/>
    <w:rsid w:val="00143A49"/>
    <w:rsid w:val="00147C38"/>
    <w:rsid w:val="0015173B"/>
    <w:rsid w:val="0015454D"/>
    <w:rsid w:val="00154FA1"/>
    <w:rsid w:val="001722C1"/>
    <w:rsid w:val="001749CA"/>
    <w:rsid w:val="0017732C"/>
    <w:rsid w:val="00190D5A"/>
    <w:rsid w:val="001A4144"/>
    <w:rsid w:val="001A4BA7"/>
    <w:rsid w:val="001A61F1"/>
    <w:rsid w:val="001B17C0"/>
    <w:rsid w:val="001C581F"/>
    <w:rsid w:val="001D6980"/>
    <w:rsid w:val="001E171E"/>
    <w:rsid w:val="001E4083"/>
    <w:rsid w:val="001F4825"/>
    <w:rsid w:val="0020202A"/>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5519"/>
    <w:rsid w:val="00283C57"/>
    <w:rsid w:val="00290219"/>
    <w:rsid w:val="00293332"/>
    <w:rsid w:val="0029696E"/>
    <w:rsid w:val="002A195C"/>
    <w:rsid w:val="002A2B82"/>
    <w:rsid w:val="002A4DE1"/>
    <w:rsid w:val="002E41CE"/>
    <w:rsid w:val="002E761D"/>
    <w:rsid w:val="002F6F9A"/>
    <w:rsid w:val="003008AA"/>
    <w:rsid w:val="00316B7D"/>
    <w:rsid w:val="00322A3A"/>
    <w:rsid w:val="00334854"/>
    <w:rsid w:val="0034096F"/>
    <w:rsid w:val="003437BF"/>
    <w:rsid w:val="00362E89"/>
    <w:rsid w:val="00374824"/>
    <w:rsid w:val="0038247D"/>
    <w:rsid w:val="003A0CD6"/>
    <w:rsid w:val="003B7F22"/>
    <w:rsid w:val="003C7F58"/>
    <w:rsid w:val="003D13E7"/>
    <w:rsid w:val="003D6049"/>
    <w:rsid w:val="003D7461"/>
    <w:rsid w:val="003D7E94"/>
    <w:rsid w:val="003E089B"/>
    <w:rsid w:val="003F2CAB"/>
    <w:rsid w:val="004146DC"/>
    <w:rsid w:val="00422DB6"/>
    <w:rsid w:val="00435D08"/>
    <w:rsid w:val="004455AC"/>
    <w:rsid w:val="00450D65"/>
    <w:rsid w:val="00452363"/>
    <w:rsid w:val="004636B8"/>
    <w:rsid w:val="00463DA1"/>
    <w:rsid w:val="004646EE"/>
    <w:rsid w:val="00467AE5"/>
    <w:rsid w:val="00470247"/>
    <w:rsid w:val="00470A15"/>
    <w:rsid w:val="00470F36"/>
    <w:rsid w:val="004766AD"/>
    <w:rsid w:val="004769AA"/>
    <w:rsid w:val="00477CF8"/>
    <w:rsid w:val="004B135F"/>
    <w:rsid w:val="004B14AC"/>
    <w:rsid w:val="004B5545"/>
    <w:rsid w:val="004C157D"/>
    <w:rsid w:val="004C32A8"/>
    <w:rsid w:val="004C486A"/>
    <w:rsid w:val="004E0958"/>
    <w:rsid w:val="004E5DFF"/>
    <w:rsid w:val="004F2CD7"/>
    <w:rsid w:val="00501044"/>
    <w:rsid w:val="00514562"/>
    <w:rsid w:val="00541A06"/>
    <w:rsid w:val="00547D31"/>
    <w:rsid w:val="0055402B"/>
    <w:rsid w:val="00565288"/>
    <w:rsid w:val="005662AE"/>
    <w:rsid w:val="005716C1"/>
    <w:rsid w:val="00573296"/>
    <w:rsid w:val="00573EAE"/>
    <w:rsid w:val="005801FC"/>
    <w:rsid w:val="00580B22"/>
    <w:rsid w:val="00584B40"/>
    <w:rsid w:val="005A0D06"/>
    <w:rsid w:val="005A66BC"/>
    <w:rsid w:val="005A7BDC"/>
    <w:rsid w:val="005B19F1"/>
    <w:rsid w:val="005B25D4"/>
    <w:rsid w:val="005B3B64"/>
    <w:rsid w:val="005C27AE"/>
    <w:rsid w:val="005C3F6B"/>
    <w:rsid w:val="005C57A3"/>
    <w:rsid w:val="005D4EC0"/>
    <w:rsid w:val="005E13CA"/>
    <w:rsid w:val="005E2681"/>
    <w:rsid w:val="005E42C9"/>
    <w:rsid w:val="005E594F"/>
    <w:rsid w:val="005E6372"/>
    <w:rsid w:val="005E6C9F"/>
    <w:rsid w:val="005E7EDD"/>
    <w:rsid w:val="005F014C"/>
    <w:rsid w:val="00605ABD"/>
    <w:rsid w:val="00611CB2"/>
    <w:rsid w:val="00616A97"/>
    <w:rsid w:val="00630590"/>
    <w:rsid w:val="0063600E"/>
    <w:rsid w:val="0063769F"/>
    <w:rsid w:val="006427D2"/>
    <w:rsid w:val="00645CED"/>
    <w:rsid w:val="00646BDB"/>
    <w:rsid w:val="00646E27"/>
    <w:rsid w:val="00647525"/>
    <w:rsid w:val="00651399"/>
    <w:rsid w:val="00654C45"/>
    <w:rsid w:val="00655B27"/>
    <w:rsid w:val="00661660"/>
    <w:rsid w:val="006712CA"/>
    <w:rsid w:val="00680078"/>
    <w:rsid w:val="006A7CD4"/>
    <w:rsid w:val="006B0A03"/>
    <w:rsid w:val="006B5ED9"/>
    <w:rsid w:val="006B6998"/>
    <w:rsid w:val="006D28E7"/>
    <w:rsid w:val="006D6049"/>
    <w:rsid w:val="006E4C0C"/>
    <w:rsid w:val="006F07F0"/>
    <w:rsid w:val="006F323F"/>
    <w:rsid w:val="006F37D0"/>
    <w:rsid w:val="006F4CF2"/>
    <w:rsid w:val="00702907"/>
    <w:rsid w:val="00710C2E"/>
    <w:rsid w:val="00715028"/>
    <w:rsid w:val="007213C4"/>
    <w:rsid w:val="007424C5"/>
    <w:rsid w:val="00754B4C"/>
    <w:rsid w:val="0076232C"/>
    <w:rsid w:val="0077401D"/>
    <w:rsid w:val="007777E1"/>
    <w:rsid w:val="00784354"/>
    <w:rsid w:val="007858D3"/>
    <w:rsid w:val="00790D11"/>
    <w:rsid w:val="00795CD1"/>
    <w:rsid w:val="007A32B5"/>
    <w:rsid w:val="007A3357"/>
    <w:rsid w:val="007B0AF4"/>
    <w:rsid w:val="007B1B90"/>
    <w:rsid w:val="007B3DE6"/>
    <w:rsid w:val="007B7ABC"/>
    <w:rsid w:val="007D2E69"/>
    <w:rsid w:val="007D6EEF"/>
    <w:rsid w:val="007D7AF3"/>
    <w:rsid w:val="007E3D55"/>
    <w:rsid w:val="007E5F69"/>
    <w:rsid w:val="007F2284"/>
    <w:rsid w:val="007F4C85"/>
    <w:rsid w:val="00812A09"/>
    <w:rsid w:val="00822241"/>
    <w:rsid w:val="0083298D"/>
    <w:rsid w:val="00844CFA"/>
    <w:rsid w:val="00855116"/>
    <w:rsid w:val="0085569C"/>
    <w:rsid w:val="00861906"/>
    <w:rsid w:val="00871A44"/>
    <w:rsid w:val="00877054"/>
    <w:rsid w:val="008774F4"/>
    <w:rsid w:val="0089076D"/>
    <w:rsid w:val="00890B9C"/>
    <w:rsid w:val="008B0FED"/>
    <w:rsid w:val="008B1887"/>
    <w:rsid w:val="008B7363"/>
    <w:rsid w:val="008D131B"/>
    <w:rsid w:val="008D237A"/>
    <w:rsid w:val="008E192A"/>
    <w:rsid w:val="008E2008"/>
    <w:rsid w:val="008E20F1"/>
    <w:rsid w:val="008E421C"/>
    <w:rsid w:val="008F1E7C"/>
    <w:rsid w:val="008F7B16"/>
    <w:rsid w:val="00911EE2"/>
    <w:rsid w:val="0092024B"/>
    <w:rsid w:val="009314F5"/>
    <w:rsid w:val="00936C9A"/>
    <w:rsid w:val="00937AB4"/>
    <w:rsid w:val="00940123"/>
    <w:rsid w:val="00941414"/>
    <w:rsid w:val="00943C5D"/>
    <w:rsid w:val="00946D3E"/>
    <w:rsid w:val="00974C40"/>
    <w:rsid w:val="00974E69"/>
    <w:rsid w:val="00976E1E"/>
    <w:rsid w:val="00981CC2"/>
    <w:rsid w:val="00993CB9"/>
    <w:rsid w:val="009956FF"/>
    <w:rsid w:val="00997ED4"/>
    <w:rsid w:val="009A689A"/>
    <w:rsid w:val="009B3A53"/>
    <w:rsid w:val="009B3EF7"/>
    <w:rsid w:val="009C083A"/>
    <w:rsid w:val="009C1C05"/>
    <w:rsid w:val="009C27A0"/>
    <w:rsid w:val="009C5758"/>
    <w:rsid w:val="009C63C5"/>
    <w:rsid w:val="009D628A"/>
    <w:rsid w:val="009D6D7C"/>
    <w:rsid w:val="009E02DB"/>
    <w:rsid w:val="009E2A93"/>
    <w:rsid w:val="009F09EF"/>
    <w:rsid w:val="009F5A44"/>
    <w:rsid w:val="00A07ACB"/>
    <w:rsid w:val="00A1419E"/>
    <w:rsid w:val="00A21875"/>
    <w:rsid w:val="00A2327C"/>
    <w:rsid w:val="00A25212"/>
    <w:rsid w:val="00A3002A"/>
    <w:rsid w:val="00A3590B"/>
    <w:rsid w:val="00A37741"/>
    <w:rsid w:val="00A46CAE"/>
    <w:rsid w:val="00A57AF9"/>
    <w:rsid w:val="00A605BA"/>
    <w:rsid w:val="00A62C44"/>
    <w:rsid w:val="00A74D37"/>
    <w:rsid w:val="00A86F5B"/>
    <w:rsid w:val="00A86F86"/>
    <w:rsid w:val="00A930DF"/>
    <w:rsid w:val="00A97CEC"/>
    <w:rsid w:val="00AA1865"/>
    <w:rsid w:val="00AA6368"/>
    <w:rsid w:val="00AB4DAB"/>
    <w:rsid w:val="00AB7138"/>
    <w:rsid w:val="00AC069E"/>
    <w:rsid w:val="00AC5E8C"/>
    <w:rsid w:val="00B03496"/>
    <w:rsid w:val="00B24DB8"/>
    <w:rsid w:val="00B553E9"/>
    <w:rsid w:val="00B72612"/>
    <w:rsid w:val="00B752EE"/>
    <w:rsid w:val="00B75DE7"/>
    <w:rsid w:val="00B83D3D"/>
    <w:rsid w:val="00B85752"/>
    <w:rsid w:val="00B906F3"/>
    <w:rsid w:val="00BA119E"/>
    <w:rsid w:val="00BA364E"/>
    <w:rsid w:val="00BA5846"/>
    <w:rsid w:val="00BB0E13"/>
    <w:rsid w:val="00BB20D7"/>
    <w:rsid w:val="00BB5AE0"/>
    <w:rsid w:val="00BB7B35"/>
    <w:rsid w:val="00BC3192"/>
    <w:rsid w:val="00BD3B0A"/>
    <w:rsid w:val="00BD4288"/>
    <w:rsid w:val="00BD5E7F"/>
    <w:rsid w:val="00BD7785"/>
    <w:rsid w:val="00BD7A00"/>
    <w:rsid w:val="00BE0D30"/>
    <w:rsid w:val="00BE2C4E"/>
    <w:rsid w:val="00BE4FC5"/>
    <w:rsid w:val="00BF22FF"/>
    <w:rsid w:val="00BF3C1B"/>
    <w:rsid w:val="00BF58C8"/>
    <w:rsid w:val="00C03D0B"/>
    <w:rsid w:val="00C170CB"/>
    <w:rsid w:val="00C17761"/>
    <w:rsid w:val="00C25367"/>
    <w:rsid w:val="00C32CE1"/>
    <w:rsid w:val="00C46AC7"/>
    <w:rsid w:val="00C560AF"/>
    <w:rsid w:val="00C66B4D"/>
    <w:rsid w:val="00C73905"/>
    <w:rsid w:val="00C77808"/>
    <w:rsid w:val="00C818B7"/>
    <w:rsid w:val="00C83347"/>
    <w:rsid w:val="00C84EF2"/>
    <w:rsid w:val="00C92296"/>
    <w:rsid w:val="00C97108"/>
    <w:rsid w:val="00C97292"/>
    <w:rsid w:val="00CA7D14"/>
    <w:rsid w:val="00CB0DA0"/>
    <w:rsid w:val="00CC4964"/>
    <w:rsid w:val="00CD74C4"/>
    <w:rsid w:val="00CE1AED"/>
    <w:rsid w:val="00CE5036"/>
    <w:rsid w:val="00CE6069"/>
    <w:rsid w:val="00CF434F"/>
    <w:rsid w:val="00CF77C9"/>
    <w:rsid w:val="00D01788"/>
    <w:rsid w:val="00D05E73"/>
    <w:rsid w:val="00D13EB3"/>
    <w:rsid w:val="00D156DE"/>
    <w:rsid w:val="00D228EB"/>
    <w:rsid w:val="00D22C1E"/>
    <w:rsid w:val="00D23029"/>
    <w:rsid w:val="00D32DDF"/>
    <w:rsid w:val="00D36912"/>
    <w:rsid w:val="00D36D48"/>
    <w:rsid w:val="00D436C0"/>
    <w:rsid w:val="00D511CB"/>
    <w:rsid w:val="00D5779E"/>
    <w:rsid w:val="00D578BB"/>
    <w:rsid w:val="00D725AB"/>
    <w:rsid w:val="00D7305C"/>
    <w:rsid w:val="00D77835"/>
    <w:rsid w:val="00D810AE"/>
    <w:rsid w:val="00D85B7F"/>
    <w:rsid w:val="00D96896"/>
    <w:rsid w:val="00DB23E3"/>
    <w:rsid w:val="00DC21CD"/>
    <w:rsid w:val="00DD3AB7"/>
    <w:rsid w:val="00DD5E1E"/>
    <w:rsid w:val="00DF2000"/>
    <w:rsid w:val="00DF61F7"/>
    <w:rsid w:val="00DF7190"/>
    <w:rsid w:val="00DF799C"/>
    <w:rsid w:val="00E1071F"/>
    <w:rsid w:val="00E16EBC"/>
    <w:rsid w:val="00E20185"/>
    <w:rsid w:val="00E3200D"/>
    <w:rsid w:val="00E34EAA"/>
    <w:rsid w:val="00E51D21"/>
    <w:rsid w:val="00E528F3"/>
    <w:rsid w:val="00E555E1"/>
    <w:rsid w:val="00E625AF"/>
    <w:rsid w:val="00E62C50"/>
    <w:rsid w:val="00E67F37"/>
    <w:rsid w:val="00E7134F"/>
    <w:rsid w:val="00E85913"/>
    <w:rsid w:val="00EA3861"/>
    <w:rsid w:val="00EB4360"/>
    <w:rsid w:val="00EC3150"/>
    <w:rsid w:val="00ED2874"/>
    <w:rsid w:val="00EE0BA9"/>
    <w:rsid w:val="00EE3FA4"/>
    <w:rsid w:val="00EF21D5"/>
    <w:rsid w:val="00EF2914"/>
    <w:rsid w:val="00EF66F6"/>
    <w:rsid w:val="00EF790D"/>
    <w:rsid w:val="00F00753"/>
    <w:rsid w:val="00F03729"/>
    <w:rsid w:val="00F15E07"/>
    <w:rsid w:val="00F241E9"/>
    <w:rsid w:val="00F35EB4"/>
    <w:rsid w:val="00F42D09"/>
    <w:rsid w:val="00F42E80"/>
    <w:rsid w:val="00F4411B"/>
    <w:rsid w:val="00F53C52"/>
    <w:rsid w:val="00F62241"/>
    <w:rsid w:val="00F70515"/>
    <w:rsid w:val="00F7696E"/>
    <w:rsid w:val="00F81EDF"/>
    <w:rsid w:val="00FA1592"/>
    <w:rsid w:val="00FA3E8A"/>
    <w:rsid w:val="00FA3FDA"/>
    <w:rsid w:val="00FB0C69"/>
    <w:rsid w:val="00FB22C9"/>
    <w:rsid w:val="00FD0180"/>
    <w:rsid w:val="00FD20FF"/>
    <w:rsid w:val="00FE42C8"/>
    <w:rsid w:val="00FE654C"/>
    <w:rsid w:val="00FE74C5"/>
    <w:rsid w:val="00FF3152"/>
    <w:rsid w:val="089093A2"/>
    <w:rsid w:val="0C2CFFAB"/>
    <w:rsid w:val="17162FD4"/>
    <w:rsid w:val="1F20FEBD"/>
    <w:rsid w:val="20927AD1"/>
    <w:rsid w:val="22302D07"/>
    <w:rsid w:val="28405AD6"/>
    <w:rsid w:val="44A1FFD4"/>
    <w:rsid w:val="5CDD4B04"/>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8">
    <w:name w:val="heading 8"/>
    <w:basedOn w:val="Normal"/>
    <w:next w:val="Normal"/>
    <w:link w:val="Heading8Char"/>
    <w:uiPriority w:val="9"/>
    <w:semiHidden/>
    <w:unhideWhenUsed/>
    <w:qFormat/>
    <w:rsid w:val="00E34EAA"/>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Heading8Char">
    <w:name w:val="Heading 8 Char"/>
    <w:basedOn w:val="DefaultParagraphFont"/>
    <w:link w:val="Heading8"/>
    <w:uiPriority w:val="9"/>
    <w:semiHidden/>
    <w:rsid w:val="00E34EAA"/>
    <w:rPr>
      <w:rFonts w:asciiTheme="minorHAnsi" w:eastAsiaTheme="majorEastAsia" w:hAnsiTheme="minorHAnsi" w:cstheme="majorBidi"/>
      <w:i/>
      <w:iCs/>
      <w:color w:val="272727" w:themeColor="text1" w:themeTint="D8"/>
      <w:kern w:val="2"/>
      <w:sz w:val="24"/>
      <w:szCs w:val="24"/>
      <w:lang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rel.gov/docs/fy24osti/89544.pdf" TargetMode="Externa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rel.gov/docs/fy24osti/89549.pdf" TargetMode="External"/><Relationship Id="rId17" Type="http://schemas.openxmlformats.org/officeDocument/2006/relationships/hyperlink" Target="https://highpoint.nrel.gov/sites/iop/Documents/gen/fy21/77850.pdf" TargetMode="External"/><Relationship Id="rId2" Type="http://schemas.openxmlformats.org/officeDocument/2006/relationships/customXml" Target="../customXml/item2.xml"/><Relationship Id="rId16" Type="http://schemas.openxmlformats.org/officeDocument/2006/relationships/hyperlink" Target="mailto:institutionaltraining@nrel.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ijhydene.2023.07.165" TargetMode="External"/><Relationship Id="rId5" Type="http://schemas.openxmlformats.org/officeDocument/2006/relationships/numbering" Target="numbering.xml"/><Relationship Id="rId15" Type="http://schemas.openxmlformats.org/officeDocument/2006/relationships/hyperlink" Target="http://thesource.nrel.gov/esh/commitment.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rel.gov/docs/fy24osti/89542.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tatus_x0020_Date xmlns="3d3e8831-6e63-47dc-a67b-b5409d0f3138" xsi:nil="true"/>
    <DocDeadline xmlns="3d3e8831-6e63-47dc-a67b-b5409d0f3138" xsi:nil="true"/>
    <Assignment xmlns="3d3e8831-6e63-47dc-a67b-b5409d0f3138">
      <UserInfo>
        <DisplayName/>
        <AccountId xsi:nil="true"/>
        <AccountType/>
      </UserInfo>
    </Assignment>
    <SME xmlns="3d3e8831-6e63-47dc-a67b-b5409d0f3138">
      <UserInfo>
        <DisplayName/>
        <AccountId xsi:nil="true"/>
        <AccountType/>
      </UserInfo>
    </SME>
    <Planner_x0020_Task xmlns="3d3e8831-6e63-47dc-a67b-b5409d0f3138">
      <Url xsi:nil="true"/>
      <Description xsi:nil="true"/>
    </Planner_x0020_Task>
    <Status xmlns="3d3e8831-6e63-47dc-a67b-b5409d0f3138" xsi:nil="true"/>
    <Reviewers xmlns="3d3e8831-6e63-47dc-a67b-b5409d0f3138">
      <UserInfo>
        <DisplayName/>
        <AccountId xsi:nil="true"/>
        <AccountType/>
      </UserInfo>
    </Reviewers>
    <DocAction xmlns="3d3e8831-6e63-47dc-a67b-b5409d0f31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753C0138DF7844A934089D77451537" ma:contentTypeVersion="19" ma:contentTypeDescription="Create a new document." ma:contentTypeScope="" ma:versionID="96ad16d3bf59e5df82e6aa13dc055dad">
  <xsd:schema xmlns:xsd="http://www.w3.org/2001/XMLSchema" xmlns:xs="http://www.w3.org/2001/XMLSchema" xmlns:p="http://schemas.microsoft.com/office/2006/metadata/properties" xmlns:ns2="3d3e8831-6e63-47dc-a67b-b5409d0f3138" xmlns:ns3="4c423614-f83c-4e83-93ee-bf4ad885d62a" targetNamespace="http://schemas.microsoft.com/office/2006/metadata/properties" ma:root="true" ma:fieldsID="d4be8883850f6486916f1dd9b68be83d" ns2:_="" ns3:_="">
    <xsd:import namespace="3d3e8831-6e63-47dc-a67b-b5409d0f3138"/>
    <xsd:import namespace="4c423614-f83c-4e83-93ee-bf4ad885d62a"/>
    <xsd:element name="properties">
      <xsd:complexType>
        <xsd:sequence>
          <xsd:element name="documentManagement">
            <xsd:complexType>
              <xsd:all>
                <xsd:element ref="ns2:DocAction" minOccurs="0"/>
                <xsd:element ref="ns2:Assignment" minOccurs="0"/>
                <xsd:element ref="ns2:SME" minOccurs="0"/>
                <xsd:element ref="ns2:Status" minOccurs="0"/>
                <xsd:element ref="ns2:Status_x0020_Date" minOccurs="0"/>
                <xsd:element ref="ns2:Reviewers" minOccurs="0"/>
                <xsd:element ref="ns2:Planner_x0020_Task" minOccurs="0"/>
                <xsd:element ref="ns2:MediaServiceMetadata" minOccurs="0"/>
                <xsd:element ref="ns2:MediaServiceFastMetadata" minOccurs="0"/>
                <xsd:element ref="ns3:SharedWithUsers" minOccurs="0"/>
                <xsd:element ref="ns3:SharedWithDetails" minOccurs="0"/>
                <xsd:element ref="ns2:DocDeadline"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8831-6e63-47dc-a67b-b5409d0f3138" elementFormDefault="qualified">
    <xsd:import namespace="http://schemas.microsoft.com/office/2006/documentManagement/types"/>
    <xsd:import namespace="http://schemas.microsoft.com/office/infopath/2007/PartnerControls"/>
    <xsd:element name="DocAction" ma:index="2" nillable="true" ma:displayName="Doc Action" ma:description="Requested document action" ma:format="Dropdown" ma:internalName="DocAction" ma:readOnly="false">
      <xsd:simpleType>
        <xsd:restriction base="dms:Choice">
          <xsd:enumeration value="Review"/>
          <xsd:enumeration value="Concur"/>
          <xsd:enumeration value="Approve"/>
        </xsd:restriction>
      </xsd:simpleType>
    </xsd:element>
    <xsd:element name="Assignment" ma:index="3" nillable="true" ma:displayName="Assignment" ma:description="Assignee for doc action (optional)" ma:format="Dropdown" ma:list="UserInfo" ma:SharePointGroup="0" ma:internalName="Assignmen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E" ma:index="10" nillable="true" ma:displayName="SME" ma:description="PPF document subject matter expert" ma:format="Dropdown" ma:list="UserInfo" ma:SharePointGroup="0" ma:internalName="S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description="Current PPF document status" ma:format="Dropdown" ma:internalName="Status">
      <xsd:simpleType>
        <xsd:restriction base="dms:Choice">
          <xsd:enumeration value="Draft"/>
          <xsd:enumeration value="Periodic Review"/>
          <xsd:enumeration value="Review"/>
          <xsd:enumeration value="Feedback"/>
          <xsd:enumeration value="Edit"/>
          <xsd:enumeration value="Concurrence"/>
          <xsd:enumeration value="Approval"/>
          <xsd:enumeration value="Publish"/>
          <xsd:enumeration value="Complete"/>
          <xsd:enumeration value="Hold"/>
          <xsd:enumeration value="Cancelled"/>
        </xsd:restriction>
      </xsd:simpleType>
    </xsd:element>
    <xsd:element name="Status_x0020_Date" ma:index="12" nillable="true" ma:displayName="Status Date" ma:description="Target or deadline date for current status" ma:format="DateOnly" ma:internalName="Status_x0020_Date">
      <xsd:simpleType>
        <xsd:restriction base="dms:DateTime"/>
      </xsd:simpleType>
    </xsd:element>
    <xsd:element name="Reviewers" ma:index="13" nillable="true" ma:displayName="Reviewers" ma:description="List of document reviewers or contributors" ma:format="Dropdown"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anner_x0020_Task" ma:index="14" nillable="true" ma:displayName="Planner Task" ma:description="Link to Planner task (history, assignment, schedule, comments, etc.)" ma:format="Hyperlink" ma:internalName="Planner_x0020_Tas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DocDeadline" ma:index="19" nillable="true" ma:displayName="Doc Deadline" ma:description="Target date or Doc Action completion" ma:format="DateOnly" ma:internalName="DocDeadline">
      <xsd:simpleType>
        <xsd:restriction base="dms:DateTime"/>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423614-f83c-4e83-93ee-bf4ad885d6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2.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3d3e8831-6e63-47dc-a67b-b5409d0f3138"/>
  </ds:schemaRefs>
</ds:datastoreItem>
</file>

<file path=customXml/itemProps3.xml><?xml version="1.0" encoding="utf-8"?>
<ds:datastoreItem xmlns:ds="http://schemas.openxmlformats.org/officeDocument/2006/customXml" ds:itemID="{EA603E52-E581-47C0-A75D-57E445D25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8831-6e63-47dc-a67b-b5409d0f3138"/>
    <ds:schemaRef ds:uri="4c423614-f83c-4e83-93ee-bf4ad885d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3742B1-9474-4783-8AB5-0519AC324EAD}">
  <ds:schemaRefs>
    <ds:schemaRef ds:uri="http://schemas.microsoft.com/sharepoint/v3/contenttype/forms"/>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1960</Words>
  <Characters>11175</Characters>
  <Application>Microsoft Office Word</Application>
  <DocSecurity>0</DocSecurity>
  <Lines>93</Lines>
  <Paragraphs>26</Paragraphs>
  <ScaleCrop>false</ScaleCrop>
  <Company/>
  <LinksUpToDate>false</LinksUpToDate>
  <CharactersWithSpaces>13109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3</cp:revision>
  <cp:lastPrinted>2015-08-19T17:37:00Z</cp:lastPrinted>
  <dcterms:created xsi:type="dcterms:W3CDTF">2024-12-16T16:05:00Z</dcterms:created>
  <dcterms:modified xsi:type="dcterms:W3CDTF">2024-12-16T16:59:00Z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